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3" w:rsidRPr="00C14993" w:rsidRDefault="00C14993" w:rsidP="00C14993">
      <w:pPr>
        <w:adjustRightInd w:val="0"/>
        <w:snapToGrid w:val="0"/>
        <w:spacing w:line="580" w:lineRule="exact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C14993"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附件：</w:t>
      </w:r>
    </w:p>
    <w:p w:rsidR="00C14993" w:rsidRPr="00C14993" w:rsidRDefault="00C14993" w:rsidP="00C14993">
      <w:pPr>
        <w:adjustRightInd w:val="0"/>
        <w:snapToGrid w:val="0"/>
        <w:spacing w:line="580" w:lineRule="exact"/>
        <w:jc w:val="center"/>
        <w:rPr>
          <w:rFonts w:ascii="Times New Roman" w:eastAsia="方正大标宋_GBK" w:hAnsi="Times New Roman" w:cs="Times New Roman"/>
          <w:color w:val="000000"/>
          <w:kern w:val="0"/>
          <w:sz w:val="36"/>
          <w:szCs w:val="36"/>
        </w:rPr>
      </w:pPr>
      <w:r w:rsidRPr="00C14993">
        <w:rPr>
          <w:rFonts w:ascii="Times New Roman" w:eastAsia="方正大标宋_GBK" w:hAnsi="Times New Roman" w:cs="Times New Roman" w:hint="eastAsia"/>
          <w:color w:val="000000"/>
          <w:kern w:val="0"/>
          <w:sz w:val="36"/>
          <w:szCs w:val="36"/>
        </w:rPr>
        <w:t>宿迁市政府定价管理的经营服务性收费目录清单（截至</w:t>
      </w:r>
      <w:r w:rsidRPr="00C14993">
        <w:rPr>
          <w:rFonts w:ascii="Times New Roman" w:eastAsia="方正大标宋_GBK" w:hAnsi="Times New Roman" w:cs="Times New Roman"/>
          <w:color w:val="000000"/>
          <w:kern w:val="0"/>
          <w:sz w:val="36"/>
          <w:szCs w:val="36"/>
        </w:rPr>
        <w:t>2021</w:t>
      </w:r>
      <w:r w:rsidRPr="00C14993">
        <w:rPr>
          <w:rFonts w:ascii="Times New Roman" w:eastAsia="方正大标宋_GBK" w:hAnsi="Times New Roman" w:cs="Times New Roman" w:hint="eastAsia"/>
          <w:color w:val="000000"/>
          <w:kern w:val="0"/>
          <w:sz w:val="36"/>
          <w:szCs w:val="36"/>
        </w:rPr>
        <w:t>年</w:t>
      </w:r>
      <w:r w:rsidRPr="00C14993">
        <w:rPr>
          <w:rFonts w:ascii="Times New Roman" w:eastAsia="方正大标宋_GBK" w:hAnsi="Times New Roman" w:cs="Times New Roman"/>
          <w:color w:val="000000"/>
          <w:kern w:val="0"/>
          <w:sz w:val="36"/>
          <w:szCs w:val="36"/>
        </w:rPr>
        <w:t>10</w:t>
      </w:r>
      <w:r w:rsidRPr="00C14993">
        <w:rPr>
          <w:rFonts w:ascii="Times New Roman" w:eastAsia="方正大标宋_GBK" w:hAnsi="Times New Roman" w:cs="Times New Roman" w:hint="eastAsia"/>
          <w:color w:val="000000"/>
          <w:kern w:val="0"/>
          <w:sz w:val="36"/>
          <w:szCs w:val="36"/>
        </w:rPr>
        <w:t>月）</w:t>
      </w:r>
    </w:p>
    <w:tbl>
      <w:tblPr>
        <w:tblW w:w="15748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720"/>
        <w:gridCol w:w="1633"/>
        <w:gridCol w:w="3060"/>
        <w:gridCol w:w="2520"/>
        <w:gridCol w:w="1053"/>
        <w:gridCol w:w="1215"/>
        <w:gridCol w:w="705"/>
        <w:gridCol w:w="780"/>
        <w:gridCol w:w="720"/>
        <w:gridCol w:w="870"/>
        <w:gridCol w:w="1635"/>
      </w:tblGrid>
      <w:tr w:rsidR="00C14993" w:rsidRPr="00C14993" w:rsidTr="00895E66">
        <w:trPr>
          <w:tblHeader/>
          <w:jc w:val="center"/>
        </w:trPr>
        <w:tc>
          <w:tcPr>
            <w:tcW w:w="837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一级项目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二级项目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收费文件（文号）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定价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spacing w:val="-11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是否涉企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是否行政审批前置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是否涉进出口环节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定价方法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14993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14993" w:rsidRPr="00C14993" w:rsidTr="00895E66">
        <w:trPr>
          <w:trHeight w:val="90"/>
          <w:jc w:val="center"/>
        </w:trPr>
        <w:tc>
          <w:tcPr>
            <w:tcW w:w="837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交通服务收费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公共事业服务收费</w:t>
            </w:r>
          </w:p>
        </w:tc>
        <w:tc>
          <w:tcPr>
            <w:tcW w:w="720" w:type="dxa"/>
            <w:vMerge w:val="restart"/>
            <w:vAlign w:val="center"/>
          </w:tcPr>
          <w:p w:rsidR="00C14993" w:rsidRPr="00C14993" w:rsidRDefault="00C14993" w:rsidP="00C14993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一、汽车客运站服务收费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（一）车辆站务基本服务收费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pacing w:val="-17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spacing w:val="-17"/>
                <w:sz w:val="22"/>
              </w:rPr>
              <w:t>客运代理费按客运运费的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6~10%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pacing w:val="-17"/>
                <w:sz w:val="22"/>
              </w:rPr>
              <w:t>。客车发班费按客运运费的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6%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pacing w:val="-17"/>
                <w:sz w:val="22"/>
              </w:rPr>
              <w:t>。行包代理费按行包运输收入的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15~30%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pacing w:val="-17"/>
                <w:sz w:val="22"/>
              </w:rPr>
              <w:t>。班车脱班费承运人按核定车辆座位运费总额的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200%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pacing w:val="-17"/>
                <w:sz w:val="22"/>
              </w:rPr>
              <w:t>向车站支付，车站向旅客支付车票的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100%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pacing w:val="-17"/>
                <w:sz w:val="22"/>
              </w:rPr>
              <w:t>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2006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309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z w:val="22"/>
              </w:rPr>
              <w:t>号</w:t>
            </w:r>
          </w:p>
          <w:p w:rsidR="00C14993" w:rsidRPr="00C14993" w:rsidRDefault="00C14993" w:rsidP="00C14993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2018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7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省发展改革委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交通运输部门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48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（二）旅客基本服务收费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旅客站务费一级站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元，二级站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1.6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元，三级站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1.4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元。退票费按车票票面金额的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10%~50%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收取。行包变更手续费，每票次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2006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309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2018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省发展改革委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交通运输部门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C14993" w:rsidRPr="00C14993" w:rsidTr="00895E66">
        <w:trPr>
          <w:trHeight w:val="73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二、机动车停车服务收费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pacing w:val="-17"/>
                <w:sz w:val="22"/>
              </w:rPr>
              <w:t>市区：计次：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一类区域白天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5-12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次、夜间</w:t>
            </w:r>
            <w:r w:rsidR="00496472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3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-6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次；二类区域白天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4-10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次、夜间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2-5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次；三类区域白天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3-8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次、夜间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2-4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次。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pacing w:val="-17"/>
                <w:sz w:val="22"/>
              </w:rPr>
              <w:t>计时：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一类区域白天首小时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3-7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小时、首小时后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2-4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小时，夜间首小时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2-5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小时、首小时后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小时；二类区域白天首小时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2-6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小时、首小时后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小时，夜间首小时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小时、首小时后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小时；三类区域白天首小时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小时、首小时后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小时；夜间首小时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1-3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小时、首小时后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小时。（详见文件）。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宿价费〔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城管部门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98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三、居民燃气工程安装费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市区已改造老旧小区普通居民住宅管道天然气建设费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1800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户，城乡低保户、特困职工凭证免收。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年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月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日以后，市政府新改造老旧小区普通居民住宅管道天然气建设费免收。各县收费标准由各县制定公布。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宿价工〔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2008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103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宿政办发〔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123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宿政发〔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98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宿价服〔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105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苏价工〔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173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苏价工〔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145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住房和城乡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建设部门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216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四、有线电视基本收视维护费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城镇用户每月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户，农村用户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户；每户可安装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个终端。非居民用户每个终端按所在地主终端标准收取，集团用户协商合同约定。互动数字电视基本服务费每台机顶盒每月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258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 xml:space="preserve"> 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 xml:space="preserve">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 xml:space="preserve"> 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宿政发〔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131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 xml:space="preserve">   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苏广发﹝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﹞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99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 xml:space="preserve">  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宿工发〔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 xml:space="preserve">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苏政办发〔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2021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省发展改革委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文广旅游部门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92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五、殡葬服务收费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（一）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基本殡仪服务费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市、县区分级制定公布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宿价规〔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市、县（区）发展改革部门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民政部门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01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（二）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公益性公墓墓葬费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市、县区分级制定公布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宿价规〔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市、县（区）发展改革部门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民政部门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01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（三）公墓管理费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市、县区分级制定公布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23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宿价规〔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</w:t>
            </w:r>
            <w:r w:rsidRPr="00C14993">
              <w:rPr>
                <w:rFonts w:ascii="Times New Roman" w:eastAsia="方正仿宋_GBK" w:hAnsi="方正仿宋_GBK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市、县（区）发展改革部门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民政部门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655"/>
          <w:jc w:val="center"/>
        </w:trPr>
        <w:tc>
          <w:tcPr>
            <w:tcW w:w="837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其他特定服务收费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其他特定服务收费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其他特定服务收费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其他特定服务收费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六、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28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8"/>
                <w:kern w:val="0"/>
                <w:sz w:val="22"/>
              </w:rPr>
              <w:t>商业银行基础服务收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8"/>
                <w:kern w:val="0"/>
                <w:sz w:val="22"/>
              </w:rPr>
              <w:t>费、银行卡刷卡手续费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（一）商业银行基础服务费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、个人跨行柜台转账汇款手续费：每笔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万元以下（含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万元），收费不超过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~0.5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~1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~5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万元以上，不超过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0.03%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，最高收费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、对公跨行柜台转账汇款手续费：每笔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万元以下（含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万元），收费不超过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~10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~50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~100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万元（含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万元），不超过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元；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万元以上，不超过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0.002%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，最高收费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、个人现金汇款手续费：每笔不超过汇款金额的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0.5%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，最高收费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、支票手续费：每笔不超过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、支票挂失费：按票面金额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0.1%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（不足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元收取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元）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、支票工本费：每份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发改价格〔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268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号、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发改价格规〔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1250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国家发展改革委、银监会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银监会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商业银行基础服务费中本票手续费、本票挂失费、本票工本费、银行汇票手续费、银行汇票挂失费和银行汇票工本费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项暂停收取，免收本行个人现金转账汇款手续费，自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年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月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日起实施</w:t>
            </w:r>
          </w:p>
        </w:tc>
      </w:tr>
      <w:tr w:rsidR="00C14993" w:rsidRPr="00C14993" w:rsidTr="00895E66">
        <w:trPr>
          <w:trHeight w:val="236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（二）银行卡刷卡手续费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  <w:t>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、银行卡刷卡交易发卡行服务费：借记卡：不高于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  <w:t>0.35%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（单笔收费金额不超过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  <w:t>13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元）；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贷记卡：不高于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  <w:t>0.45%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、银行卡刷卡交易网络服务费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向发卡机构：不高于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0.0325%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（单笔收费金额不超过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3.25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元）；向收单机构：不高于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0.0325%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（单笔收费金额不超过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3.25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元）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发改价格〔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557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国家发展改革委、人民银行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人民银行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91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七、公证服务收费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详见文件。工业企业、小微企业（不含房地产开发经营）项目前期注册登记和建设阶段免收。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宿政发〔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2015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154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苏价费〔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2017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114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苏发改收费发〔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sz w:val="22"/>
              </w:rPr>
              <w:t>2019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kern w:val="0"/>
                <w:sz w:val="22"/>
              </w:rPr>
              <w:t>707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省发展改革委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司法部门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取消涉外、涉港澳台公证书工本费</w:t>
            </w:r>
          </w:p>
        </w:tc>
      </w:tr>
      <w:tr w:rsidR="00C14993" w:rsidRPr="00C14993" w:rsidTr="00895E66">
        <w:trPr>
          <w:trHeight w:val="141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八、司法鉴定服务收费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按文件规定执行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苏价规〔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苏价费〔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z w:val="22"/>
              </w:rPr>
              <w:t>2017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6108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苏发改收费发〔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sz w:val="22"/>
              </w:rPr>
              <w:t>2019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kern w:val="0"/>
                <w:sz w:val="22"/>
              </w:rPr>
              <w:t>708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省发展改革委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司法部门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304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九、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垄断性交易平台服务收费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垄断性交易平台服务收费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垄断性交易平台服务收费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lastRenderedPageBreak/>
              <w:t>建设工程交易综合服务费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2006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宿价工〔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2008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宿政办发〔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425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宿政发〔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98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177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宿政办发〔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苏发改服价发〔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kern w:val="0"/>
                <w:sz w:val="22"/>
              </w:rPr>
              <w:t>2018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kern w:val="0"/>
                <w:sz w:val="22"/>
              </w:rPr>
              <w:t>1348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省发展改革委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行政审批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 xml:space="preserve">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27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1.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各类建设工程施工（含装饰装修）及材料、设备采购的招标项目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招标单位支付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30%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，中标单位支付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70%</w:t>
            </w:r>
          </w:p>
        </w:tc>
      </w:tr>
      <w:tr w:rsidR="00C14993" w:rsidRPr="00C14993" w:rsidTr="00895E66">
        <w:trPr>
          <w:trHeight w:val="110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①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或交易额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)200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不含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200)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以下的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3600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3600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②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)200-500(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不含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500)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万元（下同）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5400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5400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③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或交易额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)500-1000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万元（不含）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7200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7200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④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)1000-1500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万元（不含）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9000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9000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⑤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)1500-3000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万元（不含）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11700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11700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⑥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)3000-5000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万元（不含）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14400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14400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⑦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或交易额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)5000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-1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亿元（不含）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18000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18000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⑧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或交易额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)1-5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亿元（不含）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22500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22500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⑨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或交易额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亿元及以上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27000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27000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2.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勘察、设计、监理的招标项目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由中标单位支付</w:t>
            </w: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①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含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以下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1800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1800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②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中标额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万元以上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3150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3150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35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3.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建设工程为直接发包的工程项目，以及采用直接发包的分包工程项目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由中标单位支付</w:t>
            </w:r>
          </w:p>
        </w:tc>
      </w:tr>
      <w:tr w:rsidR="00C14993" w:rsidRPr="00C14993" w:rsidTr="00895E66">
        <w:trPr>
          <w:trHeight w:val="122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①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工程单项合同额低于规定必须招标限额的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1350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1350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6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②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工程单项合同额高于规定必须招标限额的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工业企业免收；现代服务业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2700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宗；其他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高于限额的按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2700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宗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982"/>
          <w:jc w:val="center"/>
        </w:trPr>
        <w:tc>
          <w:tcPr>
            <w:tcW w:w="837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2"/>
              </w:rPr>
              <w:t>其他特定服务收费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十、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住房物业服务收费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㈠普通住宅前期物业服务收费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业主大会成立后由业主大会或业主大会授权的业主委员长会决定；街道办接管的老旧小区由街道办在政府指导价范围内确定；非普通住宅、非住宅物业公共服务费协商确定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23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《宿迁市住宅物业管理条例》</w:t>
            </w:r>
          </w:p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77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0"/>
                <w:sz w:val="22"/>
              </w:rPr>
              <w:t>宿发改收费发〔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0"/>
                <w:sz w:val="22"/>
              </w:rPr>
              <w:t>2019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0"/>
                <w:sz w:val="22"/>
              </w:rPr>
              <w:t>195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住房和城乡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建设部门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873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</w:rPr>
              <w:t>①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物业公共服务费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市区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0.18-0.82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㎡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·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月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。空置房按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70%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收费。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495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②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业主自购车位（库）物业服务费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市区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20-40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月。水电装表入户的免收。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无产权登记车位（库）</w:t>
            </w:r>
          </w:p>
        </w:tc>
      </w:tr>
      <w:tr w:rsidR="00C14993" w:rsidRPr="00C14993" w:rsidTr="00895E66">
        <w:trPr>
          <w:trHeight w:val="563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③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汽车停放费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608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业主公共、共有车位（库）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市区最高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月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·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车位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700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临时车位（库）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市区免费停放不低于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小时。超过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小时可按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车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·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次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收费，超过夜里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12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点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车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23"/>
                <w:kern w:val="0"/>
                <w:sz w:val="22"/>
              </w:rPr>
              <w:t>·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次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。</w:t>
            </w:r>
          </w:p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683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㈡人防和建设单位车位（库）租金</w:t>
            </w: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市区最高不超过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150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元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/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月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  <w:t>·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车。</w:t>
            </w:r>
          </w:p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各县收费标准由各县制定公布。</w:t>
            </w: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41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宿价服〔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65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市、县发展改革部门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7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住房和城乡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建设部门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14993" w:rsidRPr="00C14993" w:rsidTr="00895E66">
        <w:trPr>
          <w:trHeight w:val="1698"/>
          <w:jc w:val="center"/>
        </w:trPr>
        <w:tc>
          <w:tcPr>
            <w:tcW w:w="837" w:type="dxa"/>
            <w:vMerge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楷体_GBK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23"/>
                <w:kern w:val="0"/>
                <w:sz w:val="22"/>
              </w:rPr>
              <w:t>十一、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危险废弃物处置收费</w:t>
            </w:r>
          </w:p>
        </w:tc>
        <w:tc>
          <w:tcPr>
            <w:tcW w:w="163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各县区制定并公布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发改价格〔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  <w:t>2003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2"/>
              </w:rPr>
              <w:t>1874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6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苏价费〔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2005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386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宿价费〔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2008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44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br/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宿价费〔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2015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58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号</w:t>
            </w:r>
          </w:p>
          <w:p w:rsidR="00C14993" w:rsidRPr="00C14993" w:rsidRDefault="00C14993" w:rsidP="00C14993">
            <w:pPr>
              <w:spacing w:line="2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宿发改收费发〔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2019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268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号宿发改收费发〔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2020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〕</w:t>
            </w:r>
            <w:r w:rsidRPr="00C14993">
              <w:rPr>
                <w:rFonts w:ascii="Times New Roman" w:eastAsia="方正仿宋_GBK" w:hAnsi="Times New Roman" w:cs="Times New Roman"/>
                <w:color w:val="000000"/>
                <w:spacing w:val="-17"/>
                <w:sz w:val="22"/>
              </w:rPr>
              <w:t>243</w:t>
            </w: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sz w:val="22"/>
              </w:rPr>
              <w:t>号</w:t>
            </w:r>
          </w:p>
        </w:tc>
        <w:tc>
          <w:tcPr>
            <w:tcW w:w="1053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7"/>
                <w:kern w:val="0"/>
                <w:sz w:val="22"/>
              </w:rPr>
              <w:t>各县（区）发展改革部门</w:t>
            </w:r>
          </w:p>
        </w:tc>
        <w:tc>
          <w:tcPr>
            <w:tcW w:w="121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生态环境部门</w:t>
            </w:r>
          </w:p>
        </w:tc>
        <w:tc>
          <w:tcPr>
            <w:tcW w:w="70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8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2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70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C14993">
              <w:rPr>
                <w:rFonts w:ascii="Times New Roman" w:eastAsia="方正仿宋_GBK" w:hAnsi="Times New Roman" w:cs="Times New Roman" w:hint="eastAsia"/>
                <w:color w:val="000000"/>
                <w:spacing w:val="-11"/>
                <w:kern w:val="0"/>
                <w:sz w:val="22"/>
              </w:rPr>
              <w:t>准许成本加合理收益</w:t>
            </w:r>
          </w:p>
        </w:tc>
        <w:tc>
          <w:tcPr>
            <w:tcW w:w="1635" w:type="dxa"/>
            <w:vAlign w:val="center"/>
          </w:tcPr>
          <w:p w:rsidR="00C14993" w:rsidRPr="00C14993" w:rsidRDefault="00C14993" w:rsidP="00C149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2"/>
              </w:rPr>
            </w:pPr>
          </w:p>
        </w:tc>
      </w:tr>
    </w:tbl>
    <w:p w:rsidR="00C14993" w:rsidRPr="00C14993" w:rsidRDefault="00C14993" w:rsidP="00C14993">
      <w:pPr>
        <w:adjustRightInd w:val="0"/>
        <w:snapToGrid w:val="0"/>
        <w:spacing w:line="580" w:lineRule="exact"/>
        <w:jc w:val="center"/>
        <w:rPr>
          <w:rFonts w:ascii="Times New Roman" w:eastAsia="方正大标宋_GBK" w:hAnsi="Times New Roman" w:cs="Times New Roman"/>
          <w:color w:val="000000"/>
          <w:kern w:val="0"/>
          <w:sz w:val="36"/>
          <w:szCs w:val="36"/>
        </w:rPr>
      </w:pPr>
    </w:p>
    <w:p w:rsidR="00C14993" w:rsidRPr="00C14993" w:rsidRDefault="00C14993" w:rsidP="00C14993">
      <w:pPr>
        <w:adjustRightInd w:val="0"/>
        <w:snapToGrid w:val="0"/>
        <w:spacing w:line="48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C14993">
        <w:rPr>
          <w:rFonts w:ascii="Times New Roman" w:eastAsia="方正仿宋_GBK" w:hAnsi="Times New Roman" w:cs="Times New Roman" w:hint="eastAsia"/>
          <w:sz w:val="24"/>
          <w:szCs w:val="24"/>
        </w:rPr>
        <w:t>注：</w:t>
      </w:r>
      <w:r w:rsidRPr="00C14993">
        <w:rPr>
          <w:rFonts w:ascii="Times New Roman" w:eastAsia="方正仿宋_GBK" w:hAnsi="Times New Roman" w:cs="Times New Roman"/>
          <w:sz w:val="24"/>
          <w:szCs w:val="24"/>
        </w:rPr>
        <w:t>1.</w:t>
      </w:r>
      <w:r w:rsidRPr="00C14993">
        <w:rPr>
          <w:rFonts w:ascii="Times New Roman" w:eastAsia="方正仿宋_GBK" w:hAnsi="Times New Roman" w:cs="Times New Roman" w:hint="eastAsia"/>
          <w:sz w:val="24"/>
          <w:szCs w:val="24"/>
        </w:rPr>
        <w:t>法律、行政法规、国家、省定价目录明确规定实行政府定价管理的经营服务性收费项目，省授权市县（区）定价的自动进入本清单。法律、行政法规明确规定实行市场调节价，或不再列入定价目录的经营服务性收费项目，自动退出本清单。</w:t>
      </w:r>
    </w:p>
    <w:p w:rsidR="00C14993" w:rsidRPr="00C14993" w:rsidRDefault="00C14993" w:rsidP="00C14993">
      <w:pPr>
        <w:adjustRightInd w:val="0"/>
        <w:snapToGrid w:val="0"/>
        <w:spacing w:line="480" w:lineRule="exact"/>
        <w:rPr>
          <w:rFonts w:ascii="Times New Roman" w:eastAsia="方正小标宋_GBK" w:hAnsi="Times New Roman" w:cs="Times New Roman"/>
          <w:sz w:val="32"/>
          <w:szCs w:val="32"/>
        </w:rPr>
      </w:pPr>
      <w:r w:rsidRPr="00C14993">
        <w:rPr>
          <w:rFonts w:ascii="Times New Roman" w:eastAsia="方正仿宋_GBK" w:hAnsi="Times New Roman" w:cs="Times New Roman"/>
          <w:color w:val="161616"/>
          <w:sz w:val="24"/>
          <w:szCs w:val="24"/>
        </w:rPr>
        <w:t>2.</w:t>
      </w:r>
      <w:r w:rsidRPr="00C14993">
        <w:rPr>
          <w:rFonts w:ascii="Times New Roman" w:eastAsia="方正仿宋_GBK" w:hAnsi="Times New Roman" w:cs="Times New Roman" w:hint="eastAsia"/>
          <w:color w:val="161616"/>
          <w:sz w:val="24"/>
          <w:szCs w:val="24"/>
        </w:rPr>
        <w:t>目录清单根据收费政策的变化实行动态调整。</w:t>
      </w:r>
    </w:p>
    <w:p w:rsidR="00C14993" w:rsidRPr="00C14993" w:rsidRDefault="00C14993" w:rsidP="00C14993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Cs w:val="24"/>
        </w:rPr>
      </w:pPr>
    </w:p>
    <w:p w:rsidR="00163826" w:rsidRPr="00C14993" w:rsidRDefault="00163826"/>
    <w:sectPr w:rsidR="00163826" w:rsidRPr="00C14993" w:rsidSect="002D396B">
      <w:pgSz w:w="16838" w:h="11906" w:orient="landscape"/>
      <w:pgMar w:top="1644" w:right="181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2C" w:rsidRDefault="0004222C" w:rsidP="00C14993">
      <w:r>
        <w:separator/>
      </w:r>
    </w:p>
  </w:endnote>
  <w:endnote w:type="continuationSeparator" w:id="1">
    <w:p w:rsidR="0004222C" w:rsidRDefault="0004222C" w:rsidP="00C1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2C" w:rsidRDefault="0004222C" w:rsidP="00C14993">
      <w:r>
        <w:separator/>
      </w:r>
    </w:p>
  </w:footnote>
  <w:footnote w:type="continuationSeparator" w:id="1">
    <w:p w:rsidR="0004222C" w:rsidRDefault="0004222C" w:rsidP="00C1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93"/>
    <w:rsid w:val="0004222C"/>
    <w:rsid w:val="00163826"/>
    <w:rsid w:val="00496472"/>
    <w:rsid w:val="00C14993"/>
    <w:rsid w:val="00E2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993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14993"/>
  </w:style>
  <w:style w:type="paragraph" w:styleId="a5">
    <w:name w:val="Normal (Web)"/>
    <w:basedOn w:val="a"/>
    <w:uiPriority w:val="99"/>
    <w:rsid w:val="00C1499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6">
    <w:name w:val="Hyperlink"/>
    <w:basedOn w:val="a0"/>
    <w:uiPriority w:val="99"/>
    <w:rsid w:val="00C14993"/>
    <w:rPr>
      <w:rFonts w:cs="Times New Roman"/>
      <w:color w:val="0000FF"/>
      <w:u w:val="single"/>
    </w:rPr>
  </w:style>
  <w:style w:type="character" w:customStyle="1" w:styleId="font01">
    <w:name w:val="font01"/>
    <w:basedOn w:val="a0"/>
    <w:uiPriority w:val="99"/>
    <w:rsid w:val="00C14993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basedOn w:val="a0"/>
    <w:uiPriority w:val="99"/>
    <w:rsid w:val="00C14993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rsid w:val="00C14993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font31">
    <w:name w:val="font31"/>
    <w:basedOn w:val="a0"/>
    <w:uiPriority w:val="99"/>
    <w:rsid w:val="00C14993"/>
    <w:rPr>
      <w:rFonts w:ascii="Times New Roman" w:hAnsi="Times New Roman" w:cs="Times New Roman"/>
      <w:color w:val="000000"/>
      <w:sz w:val="18"/>
      <w:szCs w:val="18"/>
      <w:u w:val="none"/>
    </w:rPr>
  </w:style>
  <w:style w:type="paragraph" w:styleId="a7">
    <w:name w:val="List Paragraph"/>
    <w:basedOn w:val="a"/>
    <w:uiPriority w:val="99"/>
    <w:qFormat/>
    <w:rsid w:val="00C1499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722</Words>
  <Characters>4117</Characters>
  <Application>Microsoft Office Word</Application>
  <DocSecurity>0</DocSecurity>
  <Lines>34</Lines>
  <Paragraphs>9</Paragraphs>
  <ScaleCrop>false</ScaleCrop>
  <Company>微软中国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2021-11-19T07:37:00Z</dcterms:created>
  <dcterms:modified xsi:type="dcterms:W3CDTF">2021-11-19T07:55:00Z</dcterms:modified>
</cp:coreProperties>
</file>