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eastAsia="方正小标宋_GBK"/>
          <w:color w:val="000000" w:themeColor="text1"/>
        </w:rPr>
      </w:pPr>
      <w:r>
        <w:rPr>
          <w:rFonts w:eastAsia="方正小标宋_GBK"/>
          <w:color w:val="000000" w:themeColor="text1"/>
        </w:rPr>
        <w:t>关于宿迁市2020年国民经济和社会发展</w:t>
      </w:r>
      <w:r>
        <w:rPr>
          <w:rFonts w:eastAsia="方正小标宋_GBK"/>
          <w:color w:val="000000" w:themeColor="text1"/>
        </w:rPr>
        <w:br w:type="textWrapping"/>
      </w:r>
      <w:r>
        <w:rPr>
          <w:rFonts w:eastAsia="方正小标宋_GBK"/>
          <w:color w:val="000000" w:themeColor="text1"/>
        </w:rPr>
        <w:t>计划执行情况与2021年国民经济</w:t>
      </w:r>
      <w:r>
        <w:rPr>
          <w:rFonts w:eastAsia="方正小标宋_GBK"/>
          <w:color w:val="000000" w:themeColor="text1"/>
        </w:rPr>
        <w:br w:type="textWrapping"/>
      </w:r>
      <w:r>
        <w:rPr>
          <w:rFonts w:eastAsia="方正小标宋_GBK"/>
          <w:color w:val="000000" w:themeColor="text1"/>
        </w:rPr>
        <w:t>和社会发展计划草案的报告</w:t>
      </w:r>
    </w:p>
    <w:p>
      <w:pPr>
        <w:spacing w:line="560" w:lineRule="exact"/>
        <w:rPr>
          <w:rFonts w:eastAsia="方正仿宋_GBK"/>
          <w:color w:val="000000" w:themeColor="text1"/>
        </w:rPr>
      </w:pPr>
      <w:bookmarkStart w:id="0" w:name="_GoBack"/>
      <w:bookmarkEnd w:id="0"/>
    </w:p>
    <w:p>
      <w:pPr>
        <w:spacing w:line="560" w:lineRule="exact"/>
        <w:ind w:firstLine="640" w:firstLineChars="200"/>
        <w:rPr>
          <w:rFonts w:eastAsia="方正黑体_GBK"/>
          <w:color w:val="000000" w:themeColor="text1"/>
        </w:rPr>
      </w:pPr>
      <w:r>
        <w:rPr>
          <w:rFonts w:eastAsia="方正黑体_GBK"/>
          <w:color w:val="000000" w:themeColor="text1"/>
        </w:rPr>
        <w:t>一、2020年国民经济和社会发展计划执行情况</w:t>
      </w:r>
    </w:p>
    <w:p>
      <w:pPr>
        <w:spacing w:line="560" w:lineRule="exact"/>
        <w:ind w:firstLine="640" w:firstLineChars="200"/>
        <w:rPr>
          <w:rFonts w:eastAsia="方正仿宋_GBK"/>
          <w:color w:val="000000" w:themeColor="text1"/>
        </w:rPr>
      </w:pPr>
      <w:r>
        <w:rPr>
          <w:rFonts w:eastAsia="方正仿宋_GBK"/>
          <w:color w:val="000000" w:themeColor="text1"/>
        </w:rPr>
        <w:t>2020年，面对突如其来的新冠肺炎疫情以及中美贸易摩擦等复杂多变的宏观经济形势，全市上下坚持以习近平新时代中国特色社会主义思想为指导，全面贯彻落实党的十九大和十九届三中、四中、五中全会精神，坚持稳中求进工作总基调，深入践行新发展理念，统筹推进疫情防控和经济社会发展，扎实做好“六稳”工作，全面落实“六保”任务，攻坚克难、化危为机、奋发有为，推动经济社会发展行稳致远，“十三五”规划确定的主要目标、全面建成小康社会的主要任务总体完成。</w:t>
      </w:r>
    </w:p>
    <w:p>
      <w:pPr>
        <w:spacing w:line="560" w:lineRule="exact"/>
        <w:ind w:firstLine="640" w:firstLineChars="200"/>
        <w:rPr>
          <w:rFonts w:eastAsia="方正楷体_GBK"/>
          <w:color w:val="000000" w:themeColor="text1"/>
        </w:rPr>
      </w:pPr>
      <w:r>
        <w:rPr>
          <w:rFonts w:eastAsia="方正楷体_GBK"/>
          <w:color w:val="000000" w:themeColor="text1"/>
        </w:rPr>
        <w:t>（一）主要计划目标完成情况</w:t>
      </w:r>
    </w:p>
    <w:p>
      <w:pPr>
        <w:spacing w:line="560" w:lineRule="exact"/>
        <w:ind w:firstLine="640" w:firstLineChars="200"/>
        <w:rPr>
          <w:rFonts w:hint="eastAsia" w:eastAsia="方正仿宋_GBK"/>
          <w:color w:val="000000" w:themeColor="text1"/>
          <w:lang w:val="en-US" w:eastAsia="zh-CN"/>
        </w:rPr>
      </w:pPr>
      <w:r>
        <w:rPr>
          <w:rFonts w:eastAsia="方正黑体_GBK"/>
          <w:color w:val="000000" w:themeColor="text1"/>
        </w:rPr>
        <w:t>预期性指标方面</w:t>
      </w:r>
      <w:r>
        <w:rPr>
          <w:rFonts w:eastAsia="方正黑体_GBK"/>
          <w:snapToGrid w:val="0"/>
          <w:color w:val="000000" w:themeColor="text1"/>
        </w:rPr>
        <w:t>，</w:t>
      </w:r>
      <w:r>
        <w:rPr>
          <w:rFonts w:eastAsia="方正仿宋_GBK"/>
          <w:color w:val="000000" w:themeColor="text1"/>
        </w:rPr>
        <w:t>地区生产总值增长4.5%；固定资产投资增长</w:t>
      </w:r>
      <w:r>
        <w:rPr>
          <w:rFonts w:hint="eastAsia" w:eastAsia="方正仿宋_GBK"/>
          <w:color w:val="000000" w:themeColor="text1"/>
        </w:rPr>
        <w:t>0.1</w:t>
      </w:r>
      <w:r>
        <w:rPr>
          <w:rFonts w:eastAsia="方正仿宋_GBK"/>
          <w:color w:val="000000" w:themeColor="text1"/>
        </w:rPr>
        <w:t>%，其中工业投资下降</w:t>
      </w:r>
      <w:r>
        <w:rPr>
          <w:rFonts w:hint="eastAsia" w:eastAsia="方正仿宋_GBK"/>
          <w:color w:val="000000" w:themeColor="text1"/>
        </w:rPr>
        <w:t>7.4</w:t>
      </w:r>
      <w:r>
        <w:rPr>
          <w:rFonts w:eastAsia="方正仿宋_GBK"/>
          <w:color w:val="000000" w:themeColor="text1"/>
        </w:rPr>
        <w:t>%；社会消费品零售总额下降</w:t>
      </w:r>
      <w:r>
        <w:rPr>
          <w:rFonts w:hint="eastAsia" w:eastAsia="方正仿宋_GBK"/>
          <w:color w:val="000000" w:themeColor="text1"/>
        </w:rPr>
        <w:t>4.7</w:t>
      </w:r>
      <w:r>
        <w:rPr>
          <w:rFonts w:eastAsia="方正仿宋_GBK"/>
          <w:color w:val="000000" w:themeColor="text1"/>
        </w:rPr>
        <w:t>%；规模以上工业增加值增长</w:t>
      </w:r>
      <w:r>
        <w:rPr>
          <w:rFonts w:hint="eastAsia" w:eastAsia="方正仿宋_GBK"/>
          <w:color w:val="000000" w:themeColor="text1"/>
        </w:rPr>
        <w:t>7.8</w:t>
      </w:r>
      <w:r>
        <w:rPr>
          <w:rFonts w:eastAsia="方正仿宋_GBK"/>
          <w:color w:val="000000" w:themeColor="text1"/>
        </w:rPr>
        <w:t>%；三大千亿级产业产值增长10</w:t>
      </w:r>
      <w:r>
        <w:rPr>
          <w:rFonts w:hint="eastAsia" w:eastAsia="方正仿宋_GBK"/>
          <w:color w:val="000000" w:themeColor="text1"/>
          <w:lang w:val="en-US" w:eastAsia="zh-CN"/>
        </w:rPr>
        <w:t>.4</w:t>
      </w:r>
      <w:r>
        <w:rPr>
          <w:rFonts w:eastAsia="方正仿宋_GBK"/>
          <w:color w:val="000000" w:themeColor="text1"/>
        </w:rPr>
        <w:t>%；高新技术产业产值占规模以上工业产值比重31.6%；实际使用外资增长35.5%；一般公共预算收入增长4%；全体居民人均可支配收入增长5.6%，其中城镇居民人均可支配收入增长4%、农村居民人均可支配收入增长6.5%；农村低收入人口脱贫巩固率100%；城镇登记失业率1.74%；研发投入占GDP比重达到1.95%；万人发明专利拥有量4件。</w:t>
      </w:r>
      <w:r>
        <w:rPr>
          <w:rFonts w:eastAsia="方正黑体_GBK"/>
          <w:color w:val="000000" w:themeColor="text1"/>
        </w:rPr>
        <w:t>约束性指标方面，</w:t>
      </w:r>
      <w:r>
        <w:rPr>
          <w:rFonts w:eastAsia="方正仿宋_GBK"/>
          <w:color w:val="000000" w:themeColor="text1"/>
        </w:rPr>
        <w:t>单位GDP生产安全事故死亡率0.0</w:t>
      </w:r>
      <w:r>
        <w:rPr>
          <w:rFonts w:hint="eastAsia" w:eastAsia="方正仿宋_GBK"/>
          <w:color w:val="000000" w:themeColor="text1"/>
          <w:lang w:val="en-US" w:eastAsia="zh-CN"/>
        </w:rPr>
        <w:t>2</w:t>
      </w:r>
      <w:r>
        <w:rPr>
          <w:rFonts w:eastAsia="方正仿宋_GBK"/>
          <w:color w:val="000000" w:themeColor="text1"/>
        </w:rPr>
        <w:t>人/亿元；节能减排和大气、水环境质量均完成国家、省下达的目标任务，其中万元GDP能耗下降2%以上，超额完成省下达任务；地表水国省考断面达到或好于Ⅲ类水质比例为92.3%，空气质量优良天数比率73.2%，细颗粒物（PM2.5）浓度45微克/立方米左右。</w:t>
      </w:r>
      <w:r>
        <w:rPr>
          <w:rFonts w:hint="eastAsia" w:eastAsia="方正仿宋_GBK"/>
          <w:color w:val="000000" w:themeColor="text1"/>
          <w:lang w:eastAsia="zh-CN"/>
        </w:rPr>
        <w:t>（地区生产总值、实际使用外资、全体居民人均可支配收入数据为预计数）</w:t>
      </w:r>
    </w:p>
    <w:p>
      <w:pPr>
        <w:spacing w:line="560" w:lineRule="exact"/>
        <w:ind w:firstLine="640" w:firstLineChars="200"/>
        <w:rPr>
          <w:rFonts w:eastAsia="方正仿宋_GBK"/>
          <w:color w:val="000000" w:themeColor="text1"/>
        </w:rPr>
      </w:pPr>
      <w:r>
        <w:rPr>
          <w:rFonts w:eastAsia="方正仿宋_GBK"/>
          <w:color w:val="000000" w:themeColor="text1"/>
        </w:rPr>
        <w:t>对照年初计划安排，一般公共预算收入、高新技术产业产值占规模以上工业产值比重、实际使用外资、城镇登记失业率等10项指标可完成或超额完成年度计划目标。受新冠肺炎疫情冲击等综合因素影响，地区生产总值、固定资产投资、</w:t>
      </w:r>
      <w:r>
        <w:rPr>
          <w:rFonts w:hint="eastAsia" w:eastAsia="方正仿宋_GBK"/>
          <w:color w:val="000000" w:themeColor="text1"/>
          <w:lang w:eastAsia="zh-CN"/>
        </w:rPr>
        <w:t>全体</w:t>
      </w:r>
      <w:r>
        <w:rPr>
          <w:rFonts w:eastAsia="方正仿宋_GBK"/>
          <w:color w:val="000000" w:themeColor="text1"/>
        </w:rPr>
        <w:t>居民人均可支配收入3项指标，增长不及年初预期，但均实现正增长。从全省重点指标排名来看，</w:t>
      </w:r>
      <w:r>
        <w:rPr>
          <w:rFonts w:hint="eastAsia" w:eastAsia="方正仿宋_GBK"/>
          <w:color w:val="000000" w:themeColor="text1"/>
          <w:lang w:eastAsia="zh-CN"/>
        </w:rPr>
        <w:t>预计</w:t>
      </w:r>
      <w:r>
        <w:rPr>
          <w:rFonts w:eastAsia="方正仿宋_GBK"/>
          <w:color w:val="000000" w:themeColor="text1"/>
        </w:rPr>
        <w:t>规模以上工业增加值、全体居民人均可支配收入2项指标增速全省第一；地区生产总值、实际使用外资、一般公共预算收入3项指标增速位居全省前列。</w:t>
      </w:r>
    </w:p>
    <w:p>
      <w:pPr>
        <w:spacing w:line="560" w:lineRule="exact"/>
        <w:ind w:firstLine="640" w:firstLineChars="200"/>
        <w:rPr>
          <w:rFonts w:eastAsia="方正楷体_GBK"/>
          <w:color w:val="000000" w:themeColor="text1"/>
        </w:rPr>
      </w:pPr>
      <w:r>
        <w:rPr>
          <w:rFonts w:eastAsia="方正楷体_GBK"/>
          <w:color w:val="000000" w:themeColor="text1"/>
        </w:rPr>
        <w:t>（二）重点工作开展情况</w:t>
      </w:r>
    </w:p>
    <w:p>
      <w:pPr>
        <w:spacing w:line="560" w:lineRule="exact"/>
        <w:ind w:firstLine="640" w:firstLineChars="200"/>
        <w:rPr>
          <w:rFonts w:eastAsia="方正仿宋_GBK"/>
          <w:color w:val="000000" w:themeColor="text1"/>
        </w:rPr>
      </w:pPr>
      <w:r>
        <w:rPr>
          <w:rFonts w:eastAsia="方正仿宋_GBK"/>
          <w:bCs/>
          <w:color w:val="000000" w:themeColor="text1"/>
        </w:rPr>
        <w:t xml:space="preserve">1. </w:t>
      </w:r>
      <w:r>
        <w:rPr>
          <w:rFonts w:eastAsia="方正仿宋_GBK"/>
          <w:b/>
          <w:color w:val="000000" w:themeColor="text1"/>
        </w:rPr>
        <w:t>项目建设取得新突破。</w:t>
      </w:r>
      <w:r>
        <w:rPr>
          <w:rFonts w:eastAsia="方正仿宋_GBK"/>
          <w:color w:val="000000" w:themeColor="text1"/>
        </w:rPr>
        <w:t>深入开展“项目建设提速提质年”活动，全力以赴加快重大项目建设，273个市级重大产业项目完成投资1586.6亿元，10个省级重大项目（含1个前期项目）完成投资199.4亿元，均达到或超过序时进度要求。持续强化项目建设精细管理，落细落实项目月度公示通报制度、季度观摩推进制度以及市领导挂钩帮办重大项目机制，全市累计新开工项目458个，计划总投资2165.8亿元，同比增长35.9%；新竣工项目399个，完成投资1484.5亿元，同比增长41.4%。恒力时尚产业园、国望高科纤维、逸达新材料、斯迪克新材料等7个百亿级重大项目全面动工、提速建设。聚焦排定的25场市级重大招商活动，深入开展第五轮、第六轮“百日招商”活动，成功举办宿迁招商云推介、2020运河品牌电商大会、2020绿洽会及西安、杭州、深圳、厦门、上海、重庆等招商会，累计新签约项目410个，协议投资3168.8亿元，同比分别增长1.74%、22.48%。其中，新签约10亿元以上工业项目105个，协议投资2439亿元，同比分别增长43.84%、34.9%。</w:t>
      </w:r>
    </w:p>
    <w:p>
      <w:pPr>
        <w:spacing w:line="560" w:lineRule="exact"/>
        <w:ind w:firstLine="640" w:firstLineChars="200"/>
        <w:rPr>
          <w:rFonts w:eastAsia="方正仿宋_GBK"/>
          <w:color w:val="000000" w:themeColor="text1"/>
        </w:rPr>
      </w:pPr>
      <w:r>
        <w:rPr>
          <w:rFonts w:eastAsia="方正仿宋_GBK"/>
          <w:bCs/>
          <w:color w:val="000000" w:themeColor="text1"/>
        </w:rPr>
        <w:t xml:space="preserve">2. </w:t>
      </w:r>
      <w:r>
        <w:rPr>
          <w:rFonts w:eastAsia="方正仿宋_GBK"/>
          <w:b/>
          <w:color w:val="000000" w:themeColor="text1"/>
        </w:rPr>
        <w:t>产业发展构建新动能。</w:t>
      </w:r>
      <w:r>
        <w:rPr>
          <w:rFonts w:eastAsia="方正仿宋_GBK"/>
          <w:color w:val="000000" w:themeColor="text1"/>
        </w:rPr>
        <w:t>农业质态稳步提升，全年粮食总产409.46万吨，出栏生猪201.15万头，均超额完成省下达任务；农业六大百亿级产业建设快速推进，果蔬、花木、稻米三大产业产值突破百亿元，花木种植面积、工厂化食用菌生产规模、河蟹养殖面积均居全国前三强。工业生产稳步提速，规模以上工业增加值增长7.</w:t>
      </w:r>
      <w:r>
        <w:rPr>
          <w:rFonts w:hint="eastAsia" w:eastAsia="方正仿宋_GBK"/>
          <w:color w:val="000000" w:themeColor="text1"/>
          <w:lang w:val="en-US" w:eastAsia="zh-CN"/>
        </w:rPr>
        <w:t>8</w:t>
      </w:r>
      <w:r>
        <w:rPr>
          <w:rFonts w:eastAsia="方正仿宋_GBK"/>
          <w:color w:val="000000" w:themeColor="text1"/>
        </w:rPr>
        <w:t>%、增速全省第一，工业开票销售、工业用电量等重点指标增速均保持全省前列；“521”工程圆满收官，出资额超2000万元兼并重组项目、投资超千万元技改项目提前超额完成年度目标任务；新亚强硅化学、博迁新材料成功在A股主板上市，华绿生物通过上市审核会议即将登陆A股，新增新三板挂牌企业1家，新增江苏股交中心价值板企业25家，资本市场“宿迁方阵”正在快速形成。深入推进服务业“三大行动计划”，不断完善“343”现代服务业新体系，服务业增加值连续</w:t>
      </w:r>
      <w:r>
        <w:rPr>
          <w:rFonts w:hint="eastAsia" w:eastAsia="方正仿宋_GBK"/>
          <w:color w:val="000000" w:themeColor="text1"/>
          <w:lang w:eastAsia="zh-CN"/>
        </w:rPr>
        <w:t>三</w:t>
      </w:r>
      <w:r>
        <w:rPr>
          <w:rFonts w:eastAsia="方正仿宋_GBK"/>
          <w:color w:val="000000" w:themeColor="text1"/>
        </w:rPr>
        <w:t>个季度保持正增长，增速位居全省第一，成为推动全市经济稳中向好的重要增长极；年内新增省级服务业集聚区（示范区）2家、省级生产性服务业领军企业4家、省级互联网平台经济重点企业1家，服务业高质量发展质态不断增强。</w:t>
      </w:r>
    </w:p>
    <w:p>
      <w:pPr>
        <w:spacing w:line="560" w:lineRule="exact"/>
        <w:ind w:firstLine="640" w:firstLineChars="200"/>
        <w:rPr>
          <w:rFonts w:eastAsia="方正仿宋_GBK"/>
          <w:color w:val="000000" w:themeColor="text1"/>
        </w:rPr>
      </w:pPr>
      <w:r>
        <w:rPr>
          <w:rFonts w:eastAsia="方正仿宋_GBK"/>
          <w:bCs/>
          <w:color w:val="000000" w:themeColor="text1"/>
        </w:rPr>
        <w:t xml:space="preserve">3. </w:t>
      </w:r>
      <w:r>
        <w:rPr>
          <w:rFonts w:eastAsia="方正仿宋_GBK"/>
          <w:b/>
          <w:color w:val="000000" w:themeColor="text1"/>
        </w:rPr>
        <w:t>城市功能得到新加强。</w:t>
      </w:r>
      <w:r>
        <w:rPr>
          <w:rFonts w:eastAsia="方正仿宋_GBK"/>
          <w:color w:val="000000" w:themeColor="text1"/>
        </w:rPr>
        <w:t>基础设施日趋完善，185项中心城市建设重点工程进展顺利，完成投资324亿元，运河湾公园等项目建成并投入使用；城镇村污水收处能力进一步提升，全年累计新建城区污水管网152公里、乡镇污水管网85.2公里、村庄生活污水处理设施97个。交通网络不断拓展，合宿新铁路宿迁段、运河宿迁港铁路专用线前期手续有序推进，宿连高速一期工程、宿连航道一期工程全面开工，G344泗洪西南岗段即将通车。人居环境持续提升，42项年度园林绿化建设任务有效落实，迎宾大道西侧游园等9个精品公园完成绿地建设，建成区公园绿地服务半径覆盖率达94.5%，“缤纷城市”建设成效显著。住房条件明显改善，中心城区启动棚户区改造征收项目27个、263万平方米；保障性安居工程新开工10726套、基本建成6368套、发放租赁补贴185户；全面完成21个老旧小区改造项目，更新水电路气、消防技防等配套设施。“厕所革命”深化巩固，市区26座新改建公厕已全面完成，380座农村公厕年底前可全面建成。</w:t>
      </w:r>
    </w:p>
    <w:p>
      <w:pPr>
        <w:spacing w:line="560" w:lineRule="exact"/>
        <w:ind w:firstLine="640" w:firstLineChars="200"/>
        <w:rPr>
          <w:rFonts w:eastAsia="方正仿宋_GBK"/>
          <w:color w:val="000000" w:themeColor="text1"/>
        </w:rPr>
      </w:pPr>
      <w:r>
        <w:rPr>
          <w:rFonts w:eastAsia="方正仿宋_GBK"/>
          <w:bCs/>
          <w:color w:val="000000" w:themeColor="text1"/>
        </w:rPr>
        <w:t xml:space="preserve">4. </w:t>
      </w:r>
      <w:r>
        <w:rPr>
          <w:rFonts w:eastAsia="方正仿宋_GBK"/>
          <w:b/>
          <w:color w:val="000000" w:themeColor="text1"/>
        </w:rPr>
        <w:t>科技文化实现新进步。</w:t>
      </w:r>
      <w:r>
        <w:rPr>
          <w:rFonts w:eastAsia="方正仿宋_GBK"/>
          <w:color w:val="000000" w:themeColor="text1"/>
        </w:rPr>
        <w:t>科技创新综合能力大幅增强，高新技术产业产值增长1</w:t>
      </w:r>
      <w:r>
        <w:rPr>
          <w:rFonts w:hint="eastAsia" w:eastAsia="方正仿宋_GBK"/>
          <w:color w:val="000000" w:themeColor="text1"/>
          <w:lang w:val="en-US" w:eastAsia="zh-CN"/>
        </w:rPr>
        <w:t>7.8</w:t>
      </w:r>
      <w:r>
        <w:rPr>
          <w:rFonts w:eastAsia="方正仿宋_GBK"/>
          <w:color w:val="000000" w:themeColor="text1"/>
        </w:rPr>
        <w:t>%，占规上工业产值比重提高到31.6%。科技型企业实现高质量倍增发展，国家科技型中小企业评价入库1024家、同比增长48%，省高新技术企业培育库企业278家、同比增长30%，全市高新技术企业达到472家、同比增长40%。搭建载体平台不断激发创新势能，全年建设科技综合体20个、投入使用面积60.4万平方米、入孵企业406家；宋和宋等4家公司与省产业技术研究院成立联合创新中心，斯迪克公司获省企业重点实验室立项。丰富优质文化资源供给，各县区乡镇（街道）文化馆分馆有效覆盖率达85%，图书馆分馆有效覆盖率达100%；全年组织开展各类文化惠民活动2000余场次，“人情新风宿9条”、“安全在我心中”等精品主题巡演活动深受群众喜欢，以全国第二、全省第一的优异成绩，蝉联全国文明城市称号。深入实施宣教提升、优抚幸福等“十项工程”，全方位、多形式、深层次开展拥军优属、拥政爱民活动，实现创建全国双拥模范城“四连冠”。加大宣传推介，全面创响旅游品牌，成功举办中国酒都（宿迁）文化旅游节，精心策划推出各类旅游惠民政策19项、精品线路16条，湖滨新区创成省级全域旅游示范区，泗阳县卢集镇成河村、宿城区耿车镇刘圩村等4家单位被列入江苏省乡村旅游重点村名录。</w:t>
      </w:r>
    </w:p>
    <w:p>
      <w:pPr>
        <w:spacing w:line="560" w:lineRule="exact"/>
        <w:ind w:firstLine="640" w:firstLineChars="200"/>
        <w:rPr>
          <w:rFonts w:eastAsia="方正仿宋_GBK"/>
          <w:color w:val="000000" w:themeColor="text1"/>
        </w:rPr>
      </w:pPr>
      <w:r>
        <w:rPr>
          <w:rFonts w:eastAsia="方正仿宋_GBK"/>
          <w:bCs/>
          <w:color w:val="000000" w:themeColor="text1"/>
        </w:rPr>
        <w:t xml:space="preserve">5. </w:t>
      </w:r>
      <w:r>
        <w:rPr>
          <w:rFonts w:eastAsia="方正仿宋_GBK"/>
          <w:b/>
          <w:color w:val="000000" w:themeColor="text1"/>
        </w:rPr>
        <w:t>民生福祉达到新水平。</w:t>
      </w:r>
      <w:r>
        <w:rPr>
          <w:rFonts w:eastAsia="方正仿宋_GBK"/>
          <w:color w:val="000000" w:themeColor="text1"/>
        </w:rPr>
        <w:t>扎实推进十大类100项民生工程项目，完成年度投资404.58亿元，90项民生工程当年建成、达效。农房改善深入推进，累计开工建设项目215个，搬迁改善15.4万户。加快推进三年学校建设攻坚计划，抓细抓实各学段学位有效供给，太湖路小学、豫新初中等29所学校建成投用、提供学位54630个，南师附中宿迁分校黄海路校区、八一路小学（宿城区实小双语部）等20所学校启动建设。推动高层次教师队伍建设，市域范围统筹调剂增加教师编制，全年累计补充在编教师2766人、备案制教师101人，定向培养乡村教师394人。医疗服务能力实现关键性提升，公立医疗体系进一步完善，市第一人民医院创成三甲综合医院，沭阳县中医院通过三甲现场评审，泗洪县人民医院、宿迁三院晋升三级</w:t>
      </w:r>
      <w:r>
        <w:rPr>
          <w:rFonts w:hint="eastAsia" w:eastAsia="方正仿宋_GBK"/>
          <w:color w:val="000000" w:themeColor="text1"/>
          <w:lang w:eastAsia="zh-CN"/>
        </w:rPr>
        <w:t>医院</w:t>
      </w:r>
      <w:r>
        <w:rPr>
          <w:rFonts w:eastAsia="方正仿宋_GBK"/>
          <w:color w:val="000000" w:themeColor="text1"/>
        </w:rPr>
        <w:t>，6家农村区域性医疗卫生中心全部建成投用。全市新增3个省级临床重点专科和1个建设单位，创成3个国家级住院医师规范化培训基地，实现零的突破。基本公共卫生服务提质增效，创建成省级孕产妇危急重症救治中心，城乡居民电子健康档案规范化建档率达到80%以上，基本公共卫生服务项目经费人均达到80元，乡村基层卫生机构中医药服务覆盖面超过95%；全市已有6家互联网医院建成上线。</w:t>
      </w:r>
    </w:p>
    <w:p>
      <w:pPr>
        <w:pStyle w:val="2"/>
        <w:spacing w:after="0" w:line="560" w:lineRule="exact"/>
        <w:ind w:firstLine="640" w:firstLineChars="200"/>
        <w:rPr>
          <w:rFonts w:eastAsia="方正仿宋_GBK"/>
          <w:color w:val="000000" w:themeColor="text1"/>
        </w:rPr>
      </w:pPr>
      <w:r>
        <w:rPr>
          <w:rFonts w:eastAsia="方正仿宋_GBK"/>
          <w:bCs/>
          <w:color w:val="000000" w:themeColor="text1"/>
        </w:rPr>
        <w:t xml:space="preserve">6. </w:t>
      </w:r>
      <w:r>
        <w:rPr>
          <w:rFonts w:eastAsia="方正仿宋_GBK"/>
          <w:b/>
          <w:color w:val="000000" w:themeColor="text1"/>
        </w:rPr>
        <w:t>生态文明展现新成效。</w:t>
      </w:r>
      <w:r>
        <w:rPr>
          <w:rFonts w:eastAsia="方正仿宋_GBK"/>
          <w:color w:val="000000" w:themeColor="text1"/>
        </w:rPr>
        <w:t>通过建立点位长、断面长、网格长制度，全面形成污染防治攻坚合力，打好“蓝天保卫战”“碧水保卫战”“净土保卫战”，生态环境质量水平不断提升。全市PM2.5累计45微克/立方米、同比改善4.3%，空气质量优良率73.2%、同比改善10.2个百分点；42个市考以上断面全面消除劣Ⅴ类，26个国省考断面优三水体比例逐年提升；在全省率先完成重点行业企业用地调查风险筛查结果纠偏以及土壤和农产品样品检测工作，全面摸清我市土壤环境质量底数。推进高铁沿线绿化、成片林营造、省级绿美村庄、农田林网4大重点工程。高效推进土地资源节约集约利用，完成低效产业用地再开发0.5万亩，实现新增耕地2.79万亩，提前实现全市建设用地减量化4万亩目标任务。全面加强河湖管控，排定32类100项河湖治理项目，建成100条生态示范河道，清除河湖“乱占、乱建、乱排”项目195项，成为荣获国务院“河湖长制激励市”表彰的全省唯一设区市。</w:t>
      </w:r>
    </w:p>
    <w:p>
      <w:pPr>
        <w:pStyle w:val="2"/>
        <w:spacing w:after="0" w:line="560" w:lineRule="exact"/>
        <w:ind w:firstLine="640" w:firstLineChars="200"/>
        <w:rPr>
          <w:rFonts w:eastAsia="方正仿宋_GBK"/>
          <w:color w:val="000000" w:themeColor="text1"/>
          <w:lang w:val="zh-CN"/>
        </w:rPr>
      </w:pPr>
      <w:r>
        <w:rPr>
          <w:rFonts w:eastAsia="方正仿宋_GBK"/>
          <w:bCs/>
          <w:color w:val="000000" w:themeColor="text1"/>
        </w:rPr>
        <w:t xml:space="preserve">7. </w:t>
      </w:r>
      <w:r>
        <w:rPr>
          <w:rFonts w:eastAsia="方正仿宋_GBK"/>
          <w:b/>
          <w:color w:val="000000" w:themeColor="text1"/>
        </w:rPr>
        <w:t>改革开放迈出新步伐。</w:t>
      </w:r>
      <w:r>
        <w:rPr>
          <w:rFonts w:eastAsia="方正仿宋_GBK"/>
          <w:color w:val="000000" w:themeColor="text1"/>
        </w:rPr>
        <w:t>全力打造全省营商环境最优城市，组织开展营商环境指标监测和企业满意度评价，推动有关部门深入重点领域和关键环节持续攻坚，部分指标持续保持全省领先，其中，企业开办推行全程“一件事、一个环节、0.5个工作日”办结；不动产登记实现1个流程、0.5个工作日、2件材料、费用全免；创新打造“政务服务协同平台”，政务服务事项办理时限压缩度50%以上；政府采购实现全流程“网上办、不见面”，全面推行免收投标保证金。积极建立具有宿迁特色的信用监管机制，推动宿迁连续6年在全省信用考核中位列第一等次，城市信用监测排名提升至全国第7位、全省第2位；推行“信用承诺+容缺办理”工作机制，在403个市级行政审批事项全面建立信用承诺制，实现容缺办理100%全覆盖；深入推广“宿易贷”信用等级认证融资模式，助推中小微企业发展，截至目前全市信用贷款户数1892户，同比增长157.1%，有近1/3的企业通过信用方式获得融资。南北共建取得新突破，苏宿园区拓园完成970户拆迁工作，苏宿园区、常熟泗洪园区、吴江泗阳园区即将分别获批高质量发展创新试点、省级特色园区；宿迁跨境电子商务综合试验区建设稳步推进，</w:t>
      </w:r>
      <w:r>
        <w:rPr>
          <w:rFonts w:eastAsia="方正仿宋_GBK"/>
          <w:color w:val="000000" w:themeColor="text1"/>
          <w:lang w:val="zh-CN"/>
        </w:rPr>
        <w:t>阿里巴巴国际站、敦煌网等5家平台企业相继落户，100余家跨境电商企业年实现出口额3000余万美元。</w:t>
      </w:r>
    </w:p>
    <w:p>
      <w:pPr>
        <w:pStyle w:val="2"/>
        <w:spacing w:after="0" w:line="560" w:lineRule="exact"/>
        <w:ind w:firstLine="640" w:firstLineChars="200"/>
        <w:rPr>
          <w:rFonts w:eastAsia="方正仿宋_GBK"/>
          <w:color w:val="000000" w:themeColor="text1"/>
        </w:rPr>
      </w:pPr>
      <w:r>
        <w:rPr>
          <w:rFonts w:eastAsia="方正仿宋_GBK"/>
          <w:color w:val="000000" w:themeColor="text1"/>
        </w:rPr>
        <w:t>在回顾总结成绩的同时，我们也清醒地看到，经济社会发展仍然存在一些困难和问题，主要是：虽然2020年全市经济呈现稳步复苏的向好势头，但经济平稳增长的基础尚不牢固，产业链供应链安全稳定面临风险挑战，疫情冲击导致的各类衍生风险不容忽视；实体经济困难较多，生产效益有所下降，企业景气指数和企业家信心指数持续走低；医疗、教育、养老等民生领域还存在一些薄弱环节，补短板强弱项需要持续推进。对于这些问题，我们将高度重视，采取有效措施，着力加以解决。</w:t>
      </w:r>
    </w:p>
    <w:p>
      <w:pPr>
        <w:spacing w:line="560" w:lineRule="exact"/>
        <w:ind w:firstLine="640" w:firstLineChars="200"/>
        <w:rPr>
          <w:rFonts w:eastAsia="方正黑体_GBK"/>
          <w:color w:val="000000" w:themeColor="text1"/>
        </w:rPr>
      </w:pPr>
      <w:r>
        <w:rPr>
          <w:rFonts w:eastAsia="方正黑体_GBK"/>
          <w:color w:val="000000" w:themeColor="text1"/>
        </w:rPr>
        <w:t>二</w:t>
      </w:r>
      <w:r>
        <w:rPr>
          <w:rFonts w:eastAsia="方正黑体_GBK"/>
          <w:color w:val="000000" w:themeColor="text1"/>
          <w:spacing w:val="-4"/>
        </w:rPr>
        <w:t>、2021年国民经济和社会发展计划主要指标预期目标安排</w:t>
      </w:r>
    </w:p>
    <w:p>
      <w:pPr>
        <w:spacing w:line="560" w:lineRule="exact"/>
        <w:ind w:firstLine="640" w:firstLineChars="200"/>
        <w:rPr>
          <w:rFonts w:eastAsia="方正仿宋_GBK"/>
          <w:color w:val="000000" w:themeColor="text1"/>
        </w:rPr>
      </w:pPr>
      <w:r>
        <w:rPr>
          <w:rFonts w:eastAsia="方正仿宋_GBK"/>
          <w:color w:val="000000" w:themeColor="text1"/>
        </w:rPr>
        <w:t>2021年是实施“十四五”规划的开局之年，也是开启全面建设社会主义现代化国家新征程、向第二个百年奋斗目标进军的第一年。做好明年经济社会发展工作，要深入贯彻习近平新时代中国特色社会主义思想，按照习近平总书记提出争当表率、争做示范、走在前列的“两争一前列”重大要求，准确把握、对标对表，把落实新发展理念、推动高质量发展、构建新发展格局的要求体现到主要指标预期目标安排工作中，推动全市经济发展稳中快进，确保“十四五”开好局、起好步。</w:t>
      </w:r>
    </w:p>
    <w:p>
      <w:pPr>
        <w:spacing w:line="560" w:lineRule="exact"/>
        <w:ind w:firstLine="640" w:firstLineChars="200"/>
        <w:rPr>
          <w:rFonts w:eastAsia="方正仿宋_GBK"/>
          <w:color w:val="000000" w:themeColor="text1"/>
        </w:rPr>
      </w:pPr>
      <w:r>
        <w:rPr>
          <w:rFonts w:eastAsia="方正仿宋_GBK"/>
          <w:color w:val="000000" w:themeColor="text1"/>
        </w:rPr>
        <w:t>主要指标结构保持稳定，较2020年目标体系作了微调，主要是以下二个方面：</w:t>
      </w:r>
      <w:r>
        <w:rPr>
          <w:rFonts w:eastAsia="方正楷体_GBK"/>
          <w:bCs/>
          <w:color w:val="000000" w:themeColor="text1"/>
        </w:rPr>
        <w:t>一是新增2项指标</w:t>
      </w:r>
      <w:r>
        <w:rPr>
          <w:rFonts w:eastAsia="方正楷体_GBK"/>
          <w:color w:val="000000" w:themeColor="text1"/>
        </w:rPr>
        <w:t>。</w:t>
      </w:r>
      <w:r>
        <w:rPr>
          <w:rFonts w:eastAsia="方正仿宋_GBK"/>
          <w:color w:val="000000" w:themeColor="text1"/>
        </w:rPr>
        <w:t>新增“居民消费价格总水平”指标，强化“六稳”“六保”工作要求，更加直面基本民生，巩固全面小康建设成果；新增</w:t>
      </w:r>
      <w:r>
        <w:rPr>
          <w:rFonts w:eastAsia="方正仿宋_GBK"/>
          <w:bCs/>
          <w:color w:val="000000" w:themeColor="text1"/>
        </w:rPr>
        <w:t>“城镇新增就业人数”</w:t>
      </w:r>
      <w:r>
        <w:rPr>
          <w:rFonts w:eastAsia="方正仿宋_GBK"/>
          <w:color w:val="000000" w:themeColor="text1"/>
        </w:rPr>
        <w:t>指标，“保居民就业”作为“六保”工作之首，也是</w:t>
      </w:r>
      <w:r>
        <w:rPr>
          <w:rFonts w:hint="eastAsia" w:eastAsia="方正仿宋_GBK"/>
          <w:color w:val="000000" w:themeColor="text1"/>
          <w:lang w:eastAsia="zh-CN"/>
        </w:rPr>
        <w:t>今</w:t>
      </w:r>
      <w:r>
        <w:rPr>
          <w:rFonts w:eastAsia="方正仿宋_GBK"/>
          <w:color w:val="000000" w:themeColor="text1"/>
        </w:rPr>
        <w:t>年的重点工作，围绕新增就业人数开展工作导向更加明确、目标更加清晰，更有利于保障就业形势稳定。</w:t>
      </w:r>
      <w:r>
        <w:rPr>
          <w:rFonts w:eastAsia="方正楷体_GBK"/>
          <w:bCs/>
          <w:color w:val="000000" w:themeColor="text1"/>
        </w:rPr>
        <w:t>二是调整指标2项。</w:t>
      </w:r>
      <w:r>
        <w:rPr>
          <w:rFonts w:eastAsia="方正仿宋_GBK"/>
          <w:color w:val="000000" w:themeColor="text1"/>
        </w:rPr>
        <w:t>把“三大千亿级产业产值”指标调整为“六大主导产业产值”，强化产业培育壮大导向，同时结合“十四五”重点打造“6+3+X”产业体系的要求，调整为涵盖范围更广、内容更加全面的六大主导产业产值；把“万人发明专利拥有量”指标调整为“发明专利拥有量”，与省高质量发展指标保持一致，更能凸显专利质量水平、市场应用水平。综上，2021年共计划安排16项主要指标，具体如下：</w:t>
      </w:r>
    </w:p>
    <w:tbl>
      <w:tblPr>
        <w:tblStyle w:val="9"/>
        <w:tblW w:w="4997" w:type="pct"/>
        <w:jc w:val="center"/>
        <w:tblLayout w:type="autofit"/>
        <w:tblCellMar>
          <w:top w:w="0" w:type="dxa"/>
          <w:left w:w="28" w:type="dxa"/>
          <w:bottom w:w="0" w:type="dxa"/>
          <w:right w:w="28" w:type="dxa"/>
        </w:tblCellMar>
      </w:tblPr>
      <w:tblGrid>
        <w:gridCol w:w="732"/>
        <w:gridCol w:w="5707"/>
        <w:gridCol w:w="2342"/>
      </w:tblGrid>
      <w:tr>
        <w:tblPrEx>
          <w:tblCellMar>
            <w:top w:w="0" w:type="dxa"/>
            <w:left w:w="28" w:type="dxa"/>
            <w:bottom w:w="0" w:type="dxa"/>
            <w:right w:w="28" w:type="dxa"/>
          </w:tblCellMar>
        </w:tblPrEx>
        <w:trPr>
          <w:trHeight w:val="454" w:hRule="atLeast"/>
          <w:tblHeader/>
          <w:jc w:val="center"/>
        </w:trPr>
        <w:tc>
          <w:tcPr>
            <w:tcW w:w="417" w:type="pct"/>
            <w:tcBorders>
              <w:top w:val="single" w:color="auto" w:sz="4" w:space="0"/>
              <w:left w:val="single" w:color="auto" w:sz="4" w:space="0"/>
              <w:right w:val="single" w:color="auto" w:sz="4" w:space="0"/>
            </w:tcBorders>
            <w:vAlign w:val="center"/>
          </w:tcPr>
          <w:p>
            <w:pPr>
              <w:widowControl/>
              <w:spacing w:line="300" w:lineRule="exact"/>
              <w:jc w:val="center"/>
              <w:rPr>
                <w:rFonts w:eastAsia="方正黑体_GBK"/>
                <w:color w:val="000000" w:themeColor="text1"/>
                <w:kern w:val="0"/>
                <w:sz w:val="24"/>
                <w:szCs w:val="24"/>
              </w:rPr>
            </w:pPr>
            <w:r>
              <w:rPr>
                <w:rFonts w:eastAsia="方正黑体_GBK"/>
                <w:color w:val="000000" w:themeColor="text1"/>
                <w:kern w:val="0"/>
                <w:sz w:val="24"/>
                <w:szCs w:val="24"/>
              </w:rPr>
              <w:t>序号</w:t>
            </w:r>
          </w:p>
        </w:tc>
        <w:tc>
          <w:tcPr>
            <w:tcW w:w="3249" w:type="pct"/>
            <w:tcBorders>
              <w:top w:val="single" w:color="auto" w:sz="4" w:space="0"/>
              <w:left w:val="single" w:color="auto" w:sz="4" w:space="0"/>
              <w:right w:val="single" w:color="auto" w:sz="4" w:space="0"/>
            </w:tcBorders>
            <w:vAlign w:val="center"/>
          </w:tcPr>
          <w:p>
            <w:pPr>
              <w:widowControl/>
              <w:spacing w:line="300" w:lineRule="exact"/>
              <w:jc w:val="center"/>
              <w:rPr>
                <w:rFonts w:eastAsia="方正黑体_GBK"/>
                <w:color w:val="000000" w:themeColor="text1"/>
                <w:kern w:val="0"/>
                <w:sz w:val="24"/>
                <w:szCs w:val="24"/>
              </w:rPr>
            </w:pPr>
            <w:r>
              <w:rPr>
                <w:rFonts w:eastAsia="方正黑体_GBK"/>
                <w:color w:val="000000" w:themeColor="text1"/>
                <w:kern w:val="0"/>
                <w:sz w:val="24"/>
                <w:szCs w:val="24"/>
              </w:rPr>
              <w:t>指标名称</w:t>
            </w:r>
          </w:p>
        </w:tc>
        <w:tc>
          <w:tcPr>
            <w:tcW w:w="1332"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eastAsia="方正黑体_GBK"/>
                <w:color w:val="000000" w:themeColor="text1"/>
                <w:kern w:val="0"/>
                <w:sz w:val="24"/>
                <w:szCs w:val="24"/>
              </w:rPr>
            </w:pPr>
            <w:r>
              <w:rPr>
                <w:rFonts w:eastAsia="方正黑体_GBK"/>
                <w:color w:val="000000" w:themeColor="text1"/>
                <w:kern w:val="0"/>
                <w:sz w:val="24"/>
                <w:szCs w:val="24"/>
              </w:rPr>
              <w:t>目标任务（%）</w:t>
            </w:r>
          </w:p>
        </w:tc>
      </w:tr>
      <w:tr>
        <w:tblPrEx>
          <w:tblCellMar>
            <w:top w:w="0" w:type="dxa"/>
            <w:left w:w="28" w:type="dxa"/>
            <w:bottom w:w="0" w:type="dxa"/>
            <w:right w:w="2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1</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地区生产总值</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7.5以上</w:t>
            </w:r>
          </w:p>
        </w:tc>
      </w:tr>
      <w:tr>
        <w:tblPrEx>
          <w:tblCellMar>
            <w:top w:w="0" w:type="dxa"/>
            <w:left w:w="28" w:type="dxa"/>
            <w:bottom w:w="0" w:type="dxa"/>
            <w:right w:w="28" w:type="dxa"/>
          </w:tblCellMar>
        </w:tblPrEx>
        <w:trPr>
          <w:trHeight w:val="397" w:hRule="atLeast"/>
          <w:jc w:val="center"/>
        </w:trPr>
        <w:tc>
          <w:tcPr>
            <w:tcW w:w="417"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2</w:t>
            </w:r>
          </w:p>
        </w:tc>
        <w:tc>
          <w:tcPr>
            <w:tcW w:w="3249" w:type="pct"/>
            <w:tcBorders>
              <w:top w:val="single" w:color="auto" w:sz="4" w:space="0"/>
              <w:left w:val="single" w:color="auto" w:sz="4" w:space="0"/>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固定资产投资</w:t>
            </w:r>
          </w:p>
        </w:tc>
        <w:tc>
          <w:tcPr>
            <w:tcW w:w="1332"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9</w:t>
            </w:r>
          </w:p>
        </w:tc>
      </w:tr>
      <w:tr>
        <w:trPr>
          <w:trHeight w:val="397" w:hRule="atLeast"/>
          <w:jc w:val="center"/>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p>
        </w:tc>
        <w:tc>
          <w:tcPr>
            <w:tcW w:w="3249" w:type="pct"/>
            <w:tcBorders>
              <w:top w:val="single" w:color="auto" w:sz="4" w:space="0"/>
              <w:left w:val="single" w:color="auto" w:sz="4" w:space="0"/>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其中：工业投资</w:t>
            </w:r>
          </w:p>
        </w:tc>
        <w:tc>
          <w:tcPr>
            <w:tcW w:w="1332"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10</w:t>
            </w:r>
          </w:p>
        </w:tc>
      </w:tr>
      <w:tr>
        <w:tblPrEx>
          <w:tblCellMar>
            <w:top w:w="0" w:type="dxa"/>
            <w:left w:w="28" w:type="dxa"/>
            <w:bottom w:w="0" w:type="dxa"/>
            <w:right w:w="2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3</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社会消费品零售总额</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7</w:t>
            </w:r>
          </w:p>
        </w:tc>
      </w:tr>
      <w:tr>
        <w:tblPrEx>
          <w:tblCellMar>
            <w:top w:w="0" w:type="dxa"/>
            <w:left w:w="28" w:type="dxa"/>
            <w:bottom w:w="0" w:type="dxa"/>
            <w:right w:w="2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4</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规模以上工业增加值</w:t>
            </w:r>
          </w:p>
        </w:tc>
        <w:tc>
          <w:tcPr>
            <w:tcW w:w="1332" w:type="pct"/>
            <w:tcBorders>
              <w:top w:val="nil"/>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10</w:t>
            </w:r>
          </w:p>
        </w:tc>
      </w:tr>
      <w:tr>
        <w:tblPrEx>
          <w:tblCellMar>
            <w:top w:w="0" w:type="dxa"/>
            <w:left w:w="28" w:type="dxa"/>
            <w:bottom w:w="0" w:type="dxa"/>
            <w:right w:w="2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5</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六大主导产业产值</w:t>
            </w:r>
          </w:p>
        </w:tc>
        <w:tc>
          <w:tcPr>
            <w:tcW w:w="1332" w:type="pct"/>
            <w:tcBorders>
              <w:top w:val="nil"/>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18</w:t>
            </w:r>
          </w:p>
        </w:tc>
      </w:tr>
      <w:tr>
        <w:tblPrEx>
          <w:tblCellMar>
            <w:top w:w="0" w:type="dxa"/>
            <w:left w:w="28" w:type="dxa"/>
            <w:bottom w:w="0" w:type="dxa"/>
            <w:right w:w="2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6</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高新技术产业产值占规模以上工业产值比重</w:t>
            </w:r>
          </w:p>
        </w:tc>
        <w:tc>
          <w:tcPr>
            <w:tcW w:w="1332" w:type="pct"/>
            <w:tcBorders>
              <w:top w:val="nil"/>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33</w:t>
            </w:r>
          </w:p>
        </w:tc>
      </w:tr>
      <w:tr>
        <w:tblPrEx>
          <w:tblCellMar>
            <w:top w:w="0" w:type="dxa"/>
            <w:left w:w="28" w:type="dxa"/>
            <w:bottom w:w="0" w:type="dxa"/>
            <w:right w:w="2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7</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实际使用外资</w:t>
            </w:r>
          </w:p>
        </w:tc>
        <w:tc>
          <w:tcPr>
            <w:tcW w:w="1332" w:type="pct"/>
            <w:tcBorders>
              <w:top w:val="nil"/>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5.5亿美元</w:t>
            </w:r>
          </w:p>
        </w:tc>
      </w:tr>
      <w:tr>
        <w:tblPrEx>
          <w:tblCellMar>
            <w:top w:w="0" w:type="dxa"/>
            <w:left w:w="28" w:type="dxa"/>
            <w:bottom w:w="0" w:type="dxa"/>
            <w:right w:w="2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8</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一般公共预算收入</w:t>
            </w:r>
          </w:p>
        </w:tc>
        <w:tc>
          <w:tcPr>
            <w:tcW w:w="1332" w:type="pct"/>
            <w:tcBorders>
              <w:top w:val="nil"/>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 xml:space="preserve">6 </w:t>
            </w:r>
          </w:p>
        </w:tc>
      </w:tr>
      <w:tr>
        <w:tblPrEx>
          <w:tblCellMar>
            <w:top w:w="0" w:type="dxa"/>
            <w:left w:w="28" w:type="dxa"/>
            <w:bottom w:w="0" w:type="dxa"/>
            <w:right w:w="28" w:type="dxa"/>
          </w:tblCellMar>
        </w:tblPrEx>
        <w:trPr>
          <w:trHeight w:val="397" w:hRule="atLeast"/>
          <w:jc w:val="center"/>
        </w:trPr>
        <w:tc>
          <w:tcPr>
            <w:tcW w:w="417" w:type="pct"/>
            <w:vMerge w:val="restart"/>
            <w:tcBorders>
              <w:top w:val="single" w:color="auto" w:sz="4" w:space="0"/>
              <w:left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9</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全体居民人均可支配收入</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与GDP增速保持同步</w:t>
            </w:r>
          </w:p>
        </w:tc>
      </w:tr>
      <w:tr>
        <w:tblPrEx>
          <w:tblCellMar>
            <w:top w:w="0" w:type="dxa"/>
            <w:left w:w="28" w:type="dxa"/>
            <w:bottom w:w="0" w:type="dxa"/>
            <w:right w:w="28" w:type="dxa"/>
          </w:tblCellMar>
        </w:tblPrEx>
        <w:trPr>
          <w:trHeight w:val="397" w:hRule="atLeast"/>
          <w:jc w:val="center"/>
        </w:trPr>
        <w:tc>
          <w:tcPr>
            <w:tcW w:w="417" w:type="pct"/>
            <w:vMerge w:val="continue"/>
            <w:tcBorders>
              <w:left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其中：城镇居民人均可支配收入</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7.5</w:t>
            </w:r>
          </w:p>
        </w:tc>
      </w:tr>
      <w:tr>
        <w:tblPrEx>
          <w:tblCellMar>
            <w:top w:w="0" w:type="dxa"/>
            <w:left w:w="28" w:type="dxa"/>
            <w:bottom w:w="0" w:type="dxa"/>
            <w:right w:w="28" w:type="dxa"/>
          </w:tblCellMar>
        </w:tblPrEx>
        <w:trPr>
          <w:trHeight w:val="397" w:hRule="atLeast"/>
          <w:jc w:val="center"/>
        </w:trPr>
        <w:tc>
          <w:tcPr>
            <w:tcW w:w="417" w:type="pct"/>
            <w:vMerge w:val="continue"/>
            <w:tcBorders>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农村居民人均可支配收入</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8</w:t>
            </w:r>
          </w:p>
        </w:tc>
      </w:tr>
      <w:tr>
        <w:tblPrEx>
          <w:tblCellMar>
            <w:top w:w="0" w:type="dxa"/>
            <w:left w:w="28" w:type="dxa"/>
            <w:bottom w:w="0" w:type="dxa"/>
            <w:right w:w="2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10</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研发投入占GDP比重</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2.05</w:t>
            </w:r>
          </w:p>
        </w:tc>
      </w:tr>
      <w:tr>
        <w:tblPrEx>
          <w:tblCellMar>
            <w:top w:w="0" w:type="dxa"/>
            <w:left w:w="28" w:type="dxa"/>
            <w:bottom w:w="0" w:type="dxa"/>
            <w:right w:w="28" w:type="dxa"/>
          </w:tblCellMar>
        </w:tblPrEx>
        <w:trPr>
          <w:trHeight w:val="397" w:hRule="atLeast"/>
          <w:jc w:val="center"/>
        </w:trPr>
        <w:tc>
          <w:tcPr>
            <w:tcW w:w="417" w:type="pct"/>
            <w:vMerge w:val="restart"/>
            <w:tcBorders>
              <w:top w:val="single" w:color="auto" w:sz="4" w:space="0"/>
              <w:left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11</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发明专利拥有量（增长率）</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13</w:t>
            </w:r>
          </w:p>
        </w:tc>
      </w:tr>
      <w:tr>
        <w:tblPrEx>
          <w:tblCellMar>
            <w:top w:w="0" w:type="dxa"/>
            <w:left w:w="28" w:type="dxa"/>
            <w:bottom w:w="0" w:type="dxa"/>
            <w:right w:w="28" w:type="dxa"/>
          </w:tblCellMar>
        </w:tblPrEx>
        <w:trPr>
          <w:trHeight w:val="397" w:hRule="atLeast"/>
          <w:jc w:val="center"/>
        </w:trPr>
        <w:tc>
          <w:tcPr>
            <w:tcW w:w="417" w:type="pct"/>
            <w:vMerge w:val="continue"/>
            <w:tcBorders>
              <w:left w:val="single" w:color="auto" w:sz="4" w:space="0"/>
              <w:bottom w:val="single" w:color="auto" w:sz="4" w:space="0"/>
              <w:right w:val="single" w:color="auto" w:sz="4" w:space="0"/>
            </w:tcBorders>
            <w:vAlign w:val="center"/>
          </w:tcPr>
          <w:p>
            <w:pPr>
              <w:widowControl/>
              <w:spacing w:line="300" w:lineRule="exact"/>
              <w:jc w:val="center"/>
              <w:rPr>
                <w:rFonts w:eastAsia="新宋体"/>
                <w:color w:val="000000" w:themeColor="text1"/>
                <w:kern w:val="0"/>
                <w:sz w:val="22"/>
                <w:szCs w:val="22"/>
              </w:rPr>
            </w:pP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其中：高维持年限发明专利拥有量（增长率）</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18</w:t>
            </w:r>
          </w:p>
        </w:tc>
      </w:tr>
      <w:tr>
        <w:tblPrEx>
          <w:tblCellMar>
            <w:top w:w="0" w:type="dxa"/>
            <w:left w:w="28" w:type="dxa"/>
            <w:bottom w:w="0" w:type="dxa"/>
            <w:right w:w="28" w:type="dxa"/>
          </w:tblCellMar>
        </w:tblPrEx>
        <w:trPr>
          <w:trHeight w:val="410"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12</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单位GDP生产安全事故死亡率（人/亿元）</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hint="default" w:eastAsia="方正仿宋_GBK"/>
                <w:color w:val="000000" w:themeColor="text1"/>
                <w:sz w:val="24"/>
                <w:szCs w:val="24"/>
                <w:lang w:val="en-US" w:eastAsia="zh-CN"/>
              </w:rPr>
            </w:pPr>
            <w:r>
              <w:rPr>
                <w:rFonts w:eastAsia="方正仿宋_GBK"/>
                <w:color w:val="000000" w:themeColor="text1"/>
                <w:sz w:val="24"/>
                <w:szCs w:val="24"/>
              </w:rPr>
              <w:t>0.0</w:t>
            </w:r>
            <w:r>
              <w:rPr>
                <w:rFonts w:hint="eastAsia" w:eastAsia="方正仿宋_GBK"/>
                <w:color w:val="000000" w:themeColor="text1"/>
                <w:sz w:val="24"/>
                <w:szCs w:val="24"/>
                <w:lang w:val="en-US" w:eastAsia="zh-CN"/>
              </w:rPr>
              <w:t>19</w:t>
            </w:r>
          </w:p>
        </w:tc>
      </w:tr>
      <w:tr>
        <w:tblPrEx>
          <w:tblCellMar>
            <w:top w:w="0" w:type="dxa"/>
            <w:left w:w="28" w:type="dxa"/>
            <w:bottom w:w="0" w:type="dxa"/>
            <w:right w:w="28" w:type="dxa"/>
          </w:tblCellMar>
        </w:tblPrEx>
        <w:trPr>
          <w:trHeight w:val="35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方正仿宋_GBK"/>
                <w:color w:val="000000" w:themeColor="text1"/>
                <w:kern w:val="0"/>
                <w:sz w:val="24"/>
                <w:szCs w:val="24"/>
              </w:rPr>
            </w:pPr>
            <w:r>
              <w:rPr>
                <w:rFonts w:eastAsia="新宋体"/>
                <w:color w:val="000000" w:themeColor="text1"/>
                <w:kern w:val="0"/>
                <w:sz w:val="22"/>
                <w:szCs w:val="22"/>
              </w:rPr>
              <w:t>13</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城镇新增就业人数（人）</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4.5万以上</w:t>
            </w:r>
          </w:p>
        </w:tc>
      </w:tr>
      <w:tr>
        <w:tblPrEx>
          <w:tblCellMar>
            <w:top w:w="0" w:type="dxa"/>
            <w:left w:w="28" w:type="dxa"/>
            <w:bottom w:w="0" w:type="dxa"/>
            <w:right w:w="28" w:type="dxa"/>
          </w:tblCellMar>
        </w:tblPrEx>
        <w:trPr>
          <w:trHeight w:val="33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新宋体"/>
                <w:color w:val="000000" w:themeColor="text1"/>
                <w:kern w:val="0"/>
                <w:sz w:val="22"/>
                <w:szCs w:val="22"/>
              </w:rPr>
            </w:pPr>
            <w:r>
              <w:rPr>
                <w:rFonts w:eastAsia="新宋体"/>
                <w:color w:val="000000" w:themeColor="text1"/>
                <w:kern w:val="0"/>
                <w:sz w:val="22"/>
                <w:szCs w:val="22"/>
              </w:rPr>
              <w:t>14</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城镇登记失业率</w:t>
            </w:r>
          </w:p>
        </w:tc>
        <w:tc>
          <w:tcPr>
            <w:tcW w:w="1332" w:type="pct"/>
            <w:tcBorders>
              <w:top w:val="single" w:color="auto" w:sz="4" w:space="0"/>
              <w:left w:val="nil"/>
              <w:bottom w:val="single" w:color="auto" w:sz="4" w:space="0"/>
              <w:right w:val="single" w:color="auto" w:sz="4" w:space="0"/>
            </w:tcBorders>
            <w:vAlign w:val="center"/>
          </w:tcPr>
          <w:p>
            <w:pPr>
              <w:spacing w:line="300" w:lineRule="exact"/>
              <w:jc w:val="center"/>
              <w:rPr>
                <w:rFonts w:eastAsia="方正仿宋_GBK"/>
                <w:color w:val="000000" w:themeColor="text1"/>
                <w:sz w:val="24"/>
                <w:szCs w:val="24"/>
              </w:rPr>
            </w:pPr>
            <w:r>
              <w:rPr>
                <w:rFonts w:eastAsia="方正仿宋_GBK"/>
                <w:color w:val="000000" w:themeColor="text1"/>
                <w:sz w:val="24"/>
                <w:szCs w:val="24"/>
              </w:rPr>
              <w:t>4以内</w:t>
            </w:r>
          </w:p>
        </w:tc>
      </w:tr>
      <w:tr>
        <w:tblPrEx>
          <w:tblCellMar>
            <w:top w:w="0" w:type="dxa"/>
            <w:left w:w="28" w:type="dxa"/>
            <w:bottom w:w="0" w:type="dxa"/>
            <w:right w:w="28" w:type="dxa"/>
          </w:tblCellMar>
        </w:tblPrEx>
        <w:trPr>
          <w:trHeight w:val="33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新宋体"/>
                <w:color w:val="000000" w:themeColor="text1"/>
                <w:kern w:val="0"/>
                <w:sz w:val="22"/>
                <w:szCs w:val="22"/>
              </w:rPr>
            </w:pPr>
            <w:r>
              <w:rPr>
                <w:rFonts w:eastAsia="新宋体"/>
                <w:color w:val="000000" w:themeColor="text1"/>
                <w:kern w:val="0"/>
                <w:sz w:val="22"/>
                <w:szCs w:val="22"/>
              </w:rPr>
              <w:t>15</w:t>
            </w:r>
          </w:p>
        </w:tc>
        <w:tc>
          <w:tcPr>
            <w:tcW w:w="3249"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居民消费价格总水平</w:t>
            </w:r>
          </w:p>
        </w:tc>
        <w:tc>
          <w:tcPr>
            <w:tcW w:w="1332" w:type="pct"/>
            <w:tcBorders>
              <w:top w:val="single" w:color="auto" w:sz="4" w:space="0"/>
              <w:left w:val="nil"/>
              <w:bottom w:val="single" w:color="auto" w:sz="4" w:space="0"/>
              <w:right w:val="single" w:color="auto" w:sz="4" w:space="0"/>
            </w:tcBorders>
            <w:vAlign w:val="center"/>
          </w:tcPr>
          <w:p>
            <w:pPr>
              <w:adjustRightInd w:val="0"/>
              <w:spacing w:line="300" w:lineRule="exact"/>
              <w:ind w:right="-64" w:rightChars="-20"/>
              <w:jc w:val="center"/>
              <w:rPr>
                <w:rFonts w:eastAsia="方正仿宋_GBK"/>
                <w:color w:val="000000" w:themeColor="text1"/>
                <w:sz w:val="24"/>
                <w:szCs w:val="24"/>
              </w:rPr>
            </w:pPr>
            <w:r>
              <w:rPr>
                <w:rFonts w:eastAsia="方正仿宋_GBK"/>
                <w:color w:val="000000" w:themeColor="text1"/>
                <w:sz w:val="24"/>
                <w:szCs w:val="24"/>
              </w:rPr>
              <w:t>3.0</w:t>
            </w:r>
          </w:p>
        </w:tc>
      </w:tr>
      <w:tr>
        <w:tblPrEx>
          <w:tblCellMar>
            <w:top w:w="0" w:type="dxa"/>
            <w:left w:w="28" w:type="dxa"/>
            <w:bottom w:w="0" w:type="dxa"/>
            <w:right w:w="28" w:type="dxa"/>
          </w:tblCellMar>
        </w:tblPrEx>
        <w:trPr>
          <w:trHeight w:val="33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eastAsia="新宋体"/>
                <w:color w:val="000000" w:themeColor="text1"/>
                <w:kern w:val="0"/>
                <w:sz w:val="22"/>
                <w:szCs w:val="22"/>
              </w:rPr>
            </w:pPr>
            <w:r>
              <w:rPr>
                <w:rFonts w:eastAsia="新宋体"/>
                <w:color w:val="000000" w:themeColor="text1"/>
                <w:kern w:val="0"/>
                <w:sz w:val="22"/>
                <w:szCs w:val="22"/>
              </w:rPr>
              <w:t>16</w:t>
            </w:r>
          </w:p>
        </w:tc>
        <w:tc>
          <w:tcPr>
            <w:tcW w:w="4582" w:type="pct"/>
            <w:gridSpan w:val="2"/>
            <w:tcBorders>
              <w:top w:val="single" w:color="auto" w:sz="4" w:space="0"/>
              <w:left w:val="nil"/>
              <w:bottom w:val="single" w:color="auto" w:sz="4" w:space="0"/>
              <w:right w:val="single" w:color="auto" w:sz="4" w:space="0"/>
            </w:tcBorders>
            <w:vAlign w:val="center"/>
          </w:tcPr>
          <w:p>
            <w:pPr>
              <w:adjustRightInd w:val="0"/>
              <w:spacing w:line="300" w:lineRule="exact"/>
              <w:ind w:right="-64" w:rightChars="-20"/>
              <w:rPr>
                <w:rFonts w:eastAsia="方正仿宋_GBK"/>
                <w:color w:val="000000" w:themeColor="text1"/>
                <w:sz w:val="24"/>
                <w:szCs w:val="24"/>
              </w:rPr>
            </w:pPr>
            <w:r>
              <w:rPr>
                <w:rFonts w:eastAsia="方正仿宋_GBK"/>
                <w:color w:val="000000" w:themeColor="text1"/>
                <w:sz w:val="24"/>
                <w:szCs w:val="24"/>
              </w:rPr>
              <w:t>节能减排和大气、水环境质量、耕地保有量、粮食产量完成国家、省下达的目标任务</w:t>
            </w:r>
          </w:p>
        </w:tc>
      </w:tr>
    </w:tbl>
    <w:p>
      <w:pPr>
        <w:pStyle w:val="7"/>
        <w:spacing w:before="0" w:beforeAutospacing="0" w:after="0" w:afterAutospacing="0" w:line="560" w:lineRule="exact"/>
        <w:ind w:firstLine="640" w:firstLineChars="200"/>
        <w:jc w:val="both"/>
        <w:rPr>
          <w:rFonts w:ascii="Times New Roman" w:hAnsi="Times New Roman" w:eastAsia="方正黑体_GBK"/>
          <w:color w:val="000000" w:themeColor="text1"/>
          <w:kern w:val="2"/>
          <w:sz w:val="32"/>
        </w:rPr>
      </w:pPr>
      <w:r>
        <w:rPr>
          <w:rFonts w:ascii="Times New Roman" w:hAnsi="Times New Roman" w:eastAsia="方正黑体_GBK"/>
          <w:color w:val="000000" w:themeColor="text1"/>
          <w:kern w:val="2"/>
          <w:sz w:val="32"/>
        </w:rPr>
        <w:t>三、实施2021年国民经济和社会发展计划的重点举措</w:t>
      </w:r>
    </w:p>
    <w:p>
      <w:pPr>
        <w:adjustRightInd w:val="0"/>
        <w:snapToGrid w:val="0"/>
        <w:spacing w:line="560" w:lineRule="exact"/>
        <w:ind w:firstLine="640" w:firstLineChars="200"/>
        <w:rPr>
          <w:rFonts w:eastAsia="方正仿宋_GBK"/>
          <w:snapToGrid w:val="0"/>
          <w:color w:val="000000" w:themeColor="text1"/>
          <w:kern w:val="0"/>
        </w:rPr>
      </w:pPr>
      <w:r>
        <w:rPr>
          <w:rFonts w:eastAsia="方正仿宋_GBK"/>
          <w:snapToGrid w:val="0"/>
          <w:color w:val="000000" w:themeColor="text1"/>
        </w:rPr>
        <w:t>根据2021年全市经济社会发展总体要求和计划安排，建议做好以下七个方面重点工作：</w:t>
      </w:r>
    </w:p>
    <w:p>
      <w:pPr>
        <w:pStyle w:val="7"/>
        <w:spacing w:before="0" w:beforeAutospacing="0" w:after="0" w:afterAutospacing="0" w:line="560" w:lineRule="exact"/>
        <w:ind w:firstLine="640" w:firstLineChars="200"/>
        <w:jc w:val="both"/>
        <w:rPr>
          <w:rFonts w:ascii="Times New Roman" w:hAnsi="Times New Roman" w:eastAsia="方正楷体_GBK"/>
          <w:color w:val="000000" w:themeColor="text1"/>
          <w:sz w:val="32"/>
        </w:rPr>
      </w:pPr>
      <w:r>
        <w:rPr>
          <w:rFonts w:ascii="Times New Roman" w:hAnsi="Times New Roman" w:eastAsia="方正楷体_GBK"/>
          <w:color w:val="000000" w:themeColor="text1"/>
          <w:kern w:val="2"/>
          <w:sz w:val="32"/>
        </w:rPr>
        <w:t>（一）构建特色高端现代产业体系</w:t>
      </w:r>
    </w:p>
    <w:p>
      <w:pPr>
        <w:pStyle w:val="7"/>
        <w:spacing w:before="0" w:beforeAutospacing="0" w:after="0" w:afterAutospacing="0" w:line="560" w:lineRule="exact"/>
        <w:ind w:firstLine="640" w:firstLineChars="200"/>
        <w:jc w:val="both"/>
        <w:rPr>
          <w:rFonts w:ascii="Times New Roman" w:hAnsi="Times New Roman" w:eastAsia="方正仿宋_GBK"/>
          <w:color w:val="000000" w:themeColor="text1"/>
          <w:kern w:val="2"/>
          <w:sz w:val="32"/>
        </w:rPr>
      </w:pPr>
      <w:r>
        <w:rPr>
          <w:rFonts w:ascii="Times New Roman" w:hAnsi="Times New Roman" w:eastAsia="方正仿宋_GBK"/>
          <w:bCs/>
          <w:color w:val="000000" w:themeColor="text1"/>
          <w:kern w:val="2"/>
          <w:sz w:val="32"/>
        </w:rPr>
        <w:t xml:space="preserve">1. </w:t>
      </w:r>
      <w:r>
        <w:rPr>
          <w:rFonts w:ascii="Times New Roman" w:hAnsi="Times New Roman" w:eastAsia="方正仿宋_GBK"/>
          <w:b/>
          <w:color w:val="000000" w:themeColor="text1"/>
          <w:kern w:val="2"/>
          <w:sz w:val="32"/>
        </w:rPr>
        <w:t>建立新型产业体系。</w:t>
      </w:r>
      <w:r>
        <w:rPr>
          <w:rFonts w:ascii="Times New Roman" w:hAnsi="Times New Roman" w:eastAsia="方正仿宋_GBK"/>
          <w:snapToGrid w:val="0"/>
          <w:color w:val="000000" w:themeColor="text1"/>
          <w:kern w:val="2"/>
          <w:sz w:val="32"/>
        </w:rPr>
        <w:t>完成全市工业经济高质量发展“十四五”规划编制，优化确立“6+3+X”新型产业体系。围绕“6+3+X”产业及衍生的20条细分产业链，全面掌握龙头企业、核心技术、主导产品、重点平台等情况，全面摸清产业链供应链的堵点断点痛点，绘制产业链发展图谱。</w:t>
      </w:r>
    </w:p>
    <w:p>
      <w:pPr>
        <w:pStyle w:val="7"/>
        <w:spacing w:before="0" w:beforeAutospacing="0" w:after="0" w:afterAutospacing="0" w:line="560" w:lineRule="exact"/>
        <w:ind w:firstLine="640" w:firstLineChars="200"/>
        <w:jc w:val="both"/>
        <w:rPr>
          <w:rFonts w:ascii="Times New Roman" w:hAnsi="Times New Roman" w:eastAsia="方正仿宋_GBK"/>
          <w:color w:val="000000" w:themeColor="text1"/>
          <w:kern w:val="2"/>
          <w:sz w:val="32"/>
        </w:rPr>
      </w:pPr>
      <w:r>
        <w:rPr>
          <w:rFonts w:ascii="Times New Roman" w:hAnsi="Times New Roman" w:eastAsia="方正仿宋_GBK"/>
          <w:bCs/>
          <w:color w:val="000000" w:themeColor="text1"/>
          <w:kern w:val="2"/>
          <w:sz w:val="32"/>
        </w:rPr>
        <w:t xml:space="preserve">2. </w:t>
      </w:r>
      <w:r>
        <w:rPr>
          <w:rFonts w:ascii="Times New Roman" w:hAnsi="Times New Roman" w:eastAsia="方正仿宋_GBK"/>
          <w:b/>
          <w:color w:val="000000" w:themeColor="text1"/>
          <w:kern w:val="2"/>
          <w:sz w:val="32"/>
        </w:rPr>
        <w:t>打好三年计划收官战。</w:t>
      </w:r>
      <w:r>
        <w:rPr>
          <w:rFonts w:ascii="Times New Roman" w:hAnsi="Times New Roman" w:eastAsia="方正仿宋_GBK"/>
          <w:snapToGrid w:val="0"/>
          <w:color w:val="000000" w:themeColor="text1"/>
          <w:kern w:val="2"/>
          <w:sz w:val="32"/>
        </w:rPr>
        <w:t>打好千百亿级产业培育三年行动计划收官战，全力培育特色优势产业链实现千百亿级大突破，年内力争列培的9个产业实现增长15%，推动机电装备产业率先成为千亿级产业，新材料产业突破500亿元，智能家电产业突破100亿元。</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3. </w:t>
      </w:r>
      <w:r>
        <w:rPr>
          <w:rFonts w:ascii="Times New Roman" w:hAnsi="Times New Roman" w:eastAsia="方正仿宋_GBK"/>
          <w:b/>
          <w:color w:val="000000" w:themeColor="text1"/>
          <w:kern w:val="2"/>
          <w:sz w:val="32"/>
        </w:rPr>
        <w:t>数字赋能推动工业升级。</w:t>
      </w:r>
      <w:r>
        <w:rPr>
          <w:rFonts w:ascii="Times New Roman" w:hAnsi="Times New Roman" w:eastAsia="方正仿宋_GBK"/>
          <w:snapToGrid w:val="0"/>
          <w:color w:val="000000" w:themeColor="text1"/>
          <w:kern w:val="2"/>
          <w:sz w:val="32"/>
        </w:rPr>
        <w:t>加快推进工业互联网建设，力争创建省级工业互联网标杆工厂2个，省重点工业互联网平台1个。加快推进企业上云和两化融合贯标，以四星级、五星级上云为主攻方向，以规上企业为重点，推动千百亿级产业龙头企业上云全覆盖，力争全年创建省星级上云企业</w:t>
      </w:r>
      <w:r>
        <w:rPr>
          <w:rFonts w:hint="eastAsia" w:ascii="Times New Roman" w:hAnsi="Times New Roman" w:eastAsia="方正仿宋_GBK"/>
          <w:snapToGrid w:val="0"/>
          <w:color w:val="000000" w:themeColor="text1"/>
          <w:kern w:val="2"/>
          <w:sz w:val="32"/>
          <w:lang w:val="en-US" w:eastAsia="zh-CN"/>
        </w:rPr>
        <w:t>2</w:t>
      </w:r>
      <w:r>
        <w:rPr>
          <w:rFonts w:ascii="Times New Roman" w:hAnsi="Times New Roman" w:eastAsia="方正仿宋_GBK"/>
          <w:snapToGrid w:val="0"/>
          <w:color w:val="000000" w:themeColor="text1"/>
          <w:kern w:val="2"/>
          <w:sz w:val="32"/>
        </w:rPr>
        <w:t>00户以上，新增两化融合贯标企业10户以上。</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4. </w:t>
      </w:r>
      <w:r>
        <w:rPr>
          <w:rFonts w:ascii="Times New Roman" w:hAnsi="Times New Roman" w:eastAsia="方正仿宋_GBK"/>
          <w:b/>
          <w:color w:val="000000" w:themeColor="text1"/>
          <w:kern w:val="2"/>
          <w:sz w:val="32"/>
        </w:rPr>
        <w:t>加快发展特色现代农业。</w:t>
      </w:r>
      <w:r>
        <w:rPr>
          <w:rFonts w:ascii="Times New Roman" w:hAnsi="Times New Roman" w:eastAsia="方正仿宋_GBK"/>
          <w:snapToGrid w:val="0"/>
          <w:color w:val="000000" w:themeColor="text1"/>
          <w:kern w:val="2"/>
          <w:sz w:val="32"/>
        </w:rPr>
        <w:t>围绕农业六大百亿级产业体系建设，突出建链补链强链，积极推进优质河蟹、工厂化食用菌、花木三大优势产业集群建设，补强稻米、果蔬、生猪、肉禽四条精深加工链条，确保“三群四链”综合产值达700亿元左右。持续加大农业招商和重大项目建设力度，新开工农业重大项目100个，固定资产投资30亿以上。推动“宿有千香”产品逐步向六大产业覆盖，品牌营销网络全面向长三角、珠三角以及京津冀等重点区域布局，加快提升宿迁农产品市场影响力。</w:t>
      </w:r>
    </w:p>
    <w:p>
      <w:pPr>
        <w:pStyle w:val="7"/>
        <w:spacing w:before="0" w:beforeAutospacing="0" w:after="0" w:afterAutospacing="0" w:line="560" w:lineRule="exact"/>
        <w:ind w:firstLine="640" w:firstLineChars="200"/>
        <w:jc w:val="both"/>
        <w:rPr>
          <w:rFonts w:ascii="Times New Roman" w:hAnsi="Times New Roman" w:eastAsia="方正仿宋_GBK"/>
          <w:color w:val="000000" w:themeColor="text1"/>
          <w:kern w:val="2"/>
          <w:sz w:val="32"/>
        </w:rPr>
      </w:pPr>
      <w:r>
        <w:rPr>
          <w:rFonts w:ascii="Times New Roman" w:hAnsi="Times New Roman" w:eastAsia="方正仿宋_GBK"/>
          <w:bCs/>
          <w:color w:val="000000" w:themeColor="text1"/>
          <w:kern w:val="2"/>
          <w:sz w:val="32"/>
        </w:rPr>
        <w:t xml:space="preserve">5. </w:t>
      </w:r>
      <w:r>
        <w:rPr>
          <w:rFonts w:ascii="Times New Roman" w:hAnsi="Times New Roman" w:eastAsia="方正仿宋_GBK"/>
          <w:b/>
          <w:color w:val="000000" w:themeColor="text1"/>
          <w:kern w:val="2"/>
          <w:sz w:val="32"/>
        </w:rPr>
        <w:t>推动现代服务业提速提质提效。</w:t>
      </w:r>
      <w:r>
        <w:rPr>
          <w:rFonts w:ascii="Times New Roman" w:hAnsi="Times New Roman" w:eastAsia="方正仿宋_GBK"/>
          <w:snapToGrid w:val="0"/>
          <w:color w:val="000000" w:themeColor="text1"/>
          <w:kern w:val="2"/>
          <w:sz w:val="32"/>
        </w:rPr>
        <w:t>深入推进全市现代服务业“投资提速、企业登高、集聚区倍增”三大行动计划，力争年内新开工建设服务业重点项目100个，新增服务业固定资产投资100亿元以上，确保服务业总量稳步提升；分别培育100个小微企业、100个规模以上企业再登新台阶，全市规模以上服务业营业收入达350亿元以上；集中力量、集聚资源、集成政策，支持一批具备发展潜力的平台和项目，全力打造具有独特优势和品牌效应的产业综合体、集聚区。</w:t>
      </w:r>
    </w:p>
    <w:p>
      <w:pPr>
        <w:pStyle w:val="7"/>
        <w:spacing w:before="0" w:beforeAutospacing="0" w:after="0" w:afterAutospacing="0" w:line="560" w:lineRule="exact"/>
        <w:ind w:firstLine="640" w:firstLineChars="200"/>
        <w:jc w:val="both"/>
        <w:rPr>
          <w:rFonts w:ascii="Times New Roman" w:hAnsi="Times New Roman" w:eastAsia="方正楷体_GBK"/>
          <w:color w:val="000000" w:themeColor="text1"/>
          <w:kern w:val="2"/>
          <w:sz w:val="32"/>
        </w:rPr>
      </w:pPr>
      <w:r>
        <w:rPr>
          <w:rFonts w:ascii="Times New Roman" w:hAnsi="Times New Roman" w:eastAsia="方正楷体_GBK"/>
          <w:color w:val="000000" w:themeColor="text1"/>
          <w:kern w:val="2"/>
          <w:sz w:val="32"/>
        </w:rPr>
        <w:t>（二）聚力重大项目打造强劲引擎</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6. </w:t>
      </w:r>
      <w:r>
        <w:rPr>
          <w:rFonts w:ascii="Times New Roman" w:hAnsi="Times New Roman" w:eastAsia="方正仿宋_GBK"/>
          <w:b/>
          <w:color w:val="000000" w:themeColor="text1"/>
          <w:kern w:val="2"/>
          <w:sz w:val="32"/>
        </w:rPr>
        <w:t>全力攻坚重大产业项目。</w:t>
      </w:r>
      <w:r>
        <w:rPr>
          <w:rFonts w:ascii="Times New Roman" w:hAnsi="Times New Roman" w:eastAsia="方正仿宋_GBK"/>
          <w:snapToGrid w:val="0"/>
          <w:color w:val="000000" w:themeColor="text1"/>
          <w:kern w:val="2"/>
          <w:sz w:val="32"/>
        </w:rPr>
        <w:t>对项目签约衔接、开工见面、过程跟进、竣工认定全程督导，持续掀起项目建设新高潮，确保新开工、新竣工项目“量质齐升”实现新跨越。突破常规思维，创新服务举措，确保项目建设无障碍推进，目前编定的2021年市级重大产业项目338个，计划完成年度投资1812.3亿元。对桐昆熔体直纺、斯迪克新材料、中材科技、国望高科等10个百亿级项目建设提供全过程、专业化的服务保障，计划完成年度投资300亿元以上。</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7. </w:t>
      </w:r>
      <w:r>
        <w:rPr>
          <w:rFonts w:ascii="Times New Roman" w:hAnsi="Times New Roman" w:eastAsia="方正仿宋_GBK"/>
          <w:b/>
          <w:color w:val="000000" w:themeColor="text1"/>
          <w:kern w:val="2"/>
          <w:sz w:val="32"/>
        </w:rPr>
        <w:t>聚势谋远推进招商引资。</w:t>
      </w:r>
      <w:r>
        <w:rPr>
          <w:rFonts w:ascii="Times New Roman" w:hAnsi="Times New Roman" w:eastAsia="方正仿宋_GBK"/>
          <w:snapToGrid w:val="0"/>
          <w:color w:val="000000" w:themeColor="text1"/>
          <w:kern w:val="2"/>
          <w:sz w:val="32"/>
        </w:rPr>
        <w:t>编排2021年全市境内拜访、推介和外资招商活动，进一步提升运河品牌电商大会、绿洽会影响力，围绕千百亿级产业、科技合作、文化产业等方向持续深耕北京、上海、深圳等重点城市，确保活动办出水平、办出成效。坚持完善“168”招商机制，接续开展新一轮“百日招商”活动，继续探索线上招商新模式，力争平均每天落地1个亿元以上项目，全年签约50亿元以上项目10个、签约10亿元以上项目100个，新竣工项目完成投资1500亿元。</w:t>
      </w:r>
    </w:p>
    <w:p>
      <w:pPr>
        <w:pStyle w:val="7"/>
        <w:spacing w:before="0" w:beforeAutospacing="0" w:after="0" w:afterAutospacing="0" w:line="560" w:lineRule="exact"/>
        <w:ind w:firstLine="640" w:firstLineChars="200"/>
        <w:jc w:val="both"/>
        <w:rPr>
          <w:rFonts w:ascii="Times New Roman" w:hAnsi="Times New Roman" w:eastAsia="方正仿宋_GBK"/>
          <w:color w:val="000000" w:themeColor="text1"/>
          <w:kern w:val="2"/>
          <w:sz w:val="32"/>
          <w:shd w:val="clear" w:color="auto" w:fill="FFFF00"/>
        </w:rPr>
      </w:pPr>
      <w:r>
        <w:rPr>
          <w:rFonts w:ascii="Times New Roman" w:hAnsi="Times New Roman" w:eastAsia="方正仿宋_GBK"/>
          <w:bCs/>
          <w:color w:val="000000" w:themeColor="text1"/>
          <w:kern w:val="2"/>
          <w:sz w:val="32"/>
        </w:rPr>
        <w:t xml:space="preserve">8. </w:t>
      </w:r>
      <w:r>
        <w:rPr>
          <w:rFonts w:ascii="Times New Roman" w:hAnsi="Times New Roman" w:eastAsia="方正仿宋_GBK"/>
          <w:b/>
          <w:color w:val="000000" w:themeColor="text1"/>
          <w:kern w:val="2"/>
          <w:sz w:val="32"/>
        </w:rPr>
        <w:t>持续加大基础设施建设。</w:t>
      </w:r>
      <w:r>
        <w:rPr>
          <w:rFonts w:ascii="Times New Roman" w:hAnsi="Times New Roman" w:eastAsia="方正仿宋_GBK"/>
          <w:snapToGrid w:val="0"/>
          <w:color w:val="000000" w:themeColor="text1"/>
          <w:kern w:val="2"/>
          <w:sz w:val="32"/>
        </w:rPr>
        <w:t>扎实有序推进京沪高速沭阳段改扩建、宿连高速、宿连航道、中心港区中心作业区三期码头等项目建设，确保洋河大道快速化改造工程如期通车。加快推进合宿新铁路、运河宿迁港铁路专用线前期工作，确保年内开工建设。突破常规思维，千方百计破解项目建设要素瓶颈，推动合宿新铁路宿迁段、盐城至洛阳高速公路宿城至泗洪段等73个项目争取专项债券资金82亿元以上。</w:t>
      </w:r>
    </w:p>
    <w:p>
      <w:pPr>
        <w:pStyle w:val="7"/>
        <w:spacing w:before="0" w:beforeAutospacing="0" w:after="0" w:afterAutospacing="0" w:line="560" w:lineRule="exact"/>
        <w:ind w:firstLine="640" w:firstLineChars="200"/>
        <w:jc w:val="both"/>
        <w:rPr>
          <w:rFonts w:ascii="Times New Roman" w:hAnsi="Times New Roman" w:eastAsia="方正楷体_GBK"/>
          <w:color w:val="000000" w:themeColor="text1"/>
          <w:kern w:val="2"/>
          <w:sz w:val="32"/>
        </w:rPr>
      </w:pPr>
      <w:r>
        <w:rPr>
          <w:rFonts w:ascii="Times New Roman" w:hAnsi="Times New Roman" w:eastAsia="方正楷体_GBK"/>
          <w:color w:val="000000" w:themeColor="text1"/>
          <w:kern w:val="2"/>
          <w:sz w:val="32"/>
        </w:rPr>
        <w:t>（三）坚持创新激活发展内生动力</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9. </w:t>
      </w:r>
      <w:r>
        <w:rPr>
          <w:rFonts w:ascii="Times New Roman" w:hAnsi="Times New Roman" w:eastAsia="方正仿宋_GBK"/>
          <w:b/>
          <w:color w:val="000000" w:themeColor="text1"/>
          <w:kern w:val="2"/>
          <w:sz w:val="32"/>
        </w:rPr>
        <w:t>提升科技创新能力。</w:t>
      </w:r>
      <w:r>
        <w:rPr>
          <w:rFonts w:ascii="Times New Roman" w:hAnsi="Times New Roman" w:eastAsia="方正仿宋_GBK"/>
          <w:snapToGrid w:val="0"/>
          <w:color w:val="000000" w:themeColor="text1"/>
          <w:kern w:val="2"/>
          <w:sz w:val="32"/>
        </w:rPr>
        <w:t>抓好建设国家创新型城市契机，实施科技型企业招培工程，年内新引进科技型企业（项目）200个，培育高新技术企业550家，瞪羚企业超过10家；以科技综合体建设为纽带，集聚国内外优质创新资源，年内建设高标准科技综合体8个，在孵企业达到600家；统筹布局高端科技创新载体平台，围绕5G、区块链、高端纺织、新材料等建设高端新型研发机构2个、联合创新中心3个。</w:t>
      </w:r>
    </w:p>
    <w:p>
      <w:pPr>
        <w:spacing w:line="560" w:lineRule="exact"/>
        <w:ind w:firstLine="640" w:firstLineChars="200"/>
        <w:rPr>
          <w:rFonts w:eastAsia="方正仿宋_GBK"/>
          <w:snapToGrid w:val="0"/>
          <w:color w:val="000000" w:themeColor="text1"/>
        </w:rPr>
      </w:pPr>
      <w:r>
        <w:rPr>
          <w:rFonts w:eastAsia="方正仿宋_GBK"/>
          <w:bCs/>
          <w:color w:val="000000" w:themeColor="text1"/>
        </w:rPr>
        <w:t xml:space="preserve">10. </w:t>
      </w:r>
      <w:r>
        <w:rPr>
          <w:rFonts w:eastAsia="方正仿宋_GBK"/>
          <w:b/>
          <w:color w:val="000000" w:themeColor="text1"/>
        </w:rPr>
        <w:t>争创最优营商环境。</w:t>
      </w:r>
      <w:r>
        <w:rPr>
          <w:rFonts w:eastAsia="方正仿宋_GBK"/>
          <w:snapToGrid w:val="0"/>
          <w:color w:val="000000" w:themeColor="text1"/>
        </w:rPr>
        <w:t>深入高效开展营商环境监测评价，坚持以评促改、以评促优，推动我市营商环境保持全省第一方阵、争取全省最优水平。努力打造“宿迁速办”区域政务服务公共品牌，对工业企业、小微企业市权范围内实现“零收费”。深化工业企业全生命周期审批改革、“一件事”集成服务改革、“一网通办”改革。积极创新监管方式，加快建立“互联网+监管”服务系统，积极备战国家级网络市场监管与服务示范区考核验收。</w:t>
      </w:r>
    </w:p>
    <w:p>
      <w:pPr>
        <w:spacing w:line="560" w:lineRule="exact"/>
        <w:ind w:firstLine="640" w:firstLineChars="200"/>
        <w:rPr>
          <w:rFonts w:eastAsia="方正仿宋_GBK"/>
          <w:color w:val="000000" w:themeColor="text1"/>
        </w:rPr>
      </w:pPr>
      <w:r>
        <w:rPr>
          <w:rFonts w:eastAsia="方正仿宋_GBK"/>
          <w:bCs/>
          <w:color w:val="000000" w:themeColor="text1"/>
        </w:rPr>
        <w:t xml:space="preserve">11. </w:t>
      </w:r>
      <w:r>
        <w:rPr>
          <w:rFonts w:eastAsia="方正仿宋_GBK"/>
          <w:b/>
          <w:color w:val="000000" w:themeColor="text1"/>
        </w:rPr>
        <w:t>推进社会信用体系建设。</w:t>
      </w:r>
      <w:r>
        <w:rPr>
          <w:rFonts w:eastAsia="方正仿宋_GBK"/>
          <w:snapToGrid w:val="0"/>
          <w:color w:val="000000" w:themeColor="text1"/>
        </w:rPr>
        <w:t>进一步完善和规范失信约束制度，开展涉信用体系建设政策文件专项清理，推动信用建设依法规范、依法建设、依法提升。更大范围、更大力度地推广“宿易贷”模式，健全企业推荐和信息归集机制，探索推进“宿易贷”贷款申请、审批、授信、放款全流程线上办理。全力推行信用监管机制，推动信用监管“三张清单”实施，完善信用评价标准和分类监管措施。信用城市建设继续领跑全国，争取稳居前十，不断进位。</w:t>
      </w:r>
    </w:p>
    <w:p>
      <w:pPr>
        <w:pStyle w:val="2"/>
        <w:spacing w:after="0" w:line="560" w:lineRule="exact"/>
        <w:ind w:firstLine="640" w:firstLineChars="200"/>
        <w:rPr>
          <w:rFonts w:eastAsia="方正仿宋_GBK"/>
          <w:snapToGrid w:val="0"/>
          <w:color w:val="000000" w:themeColor="text1"/>
        </w:rPr>
      </w:pPr>
      <w:r>
        <w:rPr>
          <w:rFonts w:eastAsia="方正仿宋_GBK"/>
          <w:bCs/>
          <w:color w:val="000000" w:themeColor="text1"/>
        </w:rPr>
        <w:t xml:space="preserve">12. </w:t>
      </w:r>
      <w:r>
        <w:rPr>
          <w:rFonts w:eastAsia="方正仿宋_GBK"/>
          <w:b/>
          <w:color w:val="000000" w:themeColor="text1"/>
        </w:rPr>
        <w:t>融入双循环新格局。</w:t>
      </w:r>
      <w:r>
        <w:rPr>
          <w:rFonts w:eastAsia="方正仿宋_GBK"/>
          <w:snapToGrid w:val="0"/>
          <w:color w:val="000000" w:themeColor="text1"/>
        </w:rPr>
        <w:t>依托获批国家级跨境电子商务综合试验区以及签订区域全面经济伙伴关系协定（RCEP）契机，重点实施新业态培育、政银信企合作等四大行动计划，力争实现进出口实绩企业突破800户、进出口总额超过45亿美元、跨境电子商务交易额1亿美元的“841”总目标。创新外资招商思路，提升利用外资质态，争取年内制造业使用外资占比提升10个百分点，战略性新兴产业使用外资占比50%以上，获批1家跨国公司功能性机构。</w:t>
      </w:r>
    </w:p>
    <w:p>
      <w:pPr>
        <w:pStyle w:val="2"/>
        <w:spacing w:after="0" w:line="560" w:lineRule="exact"/>
        <w:ind w:firstLine="640" w:firstLineChars="200"/>
        <w:rPr>
          <w:rFonts w:eastAsia="方正仿宋_GBK"/>
          <w:snapToGrid w:val="0"/>
          <w:color w:val="000000" w:themeColor="text1"/>
        </w:rPr>
      </w:pPr>
      <w:r>
        <w:rPr>
          <w:rFonts w:eastAsia="方正仿宋_GBK"/>
          <w:bCs/>
          <w:color w:val="000000" w:themeColor="text1"/>
        </w:rPr>
        <w:t xml:space="preserve">13. </w:t>
      </w:r>
      <w:r>
        <w:rPr>
          <w:rFonts w:eastAsia="方正仿宋_GBK"/>
          <w:b/>
          <w:color w:val="000000" w:themeColor="text1"/>
        </w:rPr>
        <w:t>加速释放商品和服务消费潜力。</w:t>
      </w:r>
      <w:r>
        <w:rPr>
          <w:rFonts w:eastAsia="方正仿宋_GBK"/>
          <w:snapToGrid w:val="0"/>
          <w:color w:val="000000" w:themeColor="text1"/>
        </w:rPr>
        <w:t>高水平策划举办年货节、购物节、美食节等系列活动，持续培育“嗨在宿迁”品牌，释放消费潜力、促进消费回补。力争在品牌引进、业态模式创新和促进消费升级等方面取得突破，打造中心城区核心商圈消费高地，支持苏宿园区苏州风情街加快落实省级高品位步行街培育计划。大力推动服务贸易创新发展，助推宿迁电子商务产业园创建省级服务外包示范园。鼓励商贸流通企业创新业态模式，加强优质商品和服务供给，支持企业做大做优做强。</w:t>
      </w:r>
    </w:p>
    <w:p>
      <w:pPr>
        <w:pStyle w:val="7"/>
        <w:spacing w:before="0" w:beforeAutospacing="0" w:after="0" w:afterAutospacing="0" w:line="560" w:lineRule="exact"/>
        <w:ind w:firstLine="640" w:firstLineChars="200"/>
        <w:jc w:val="both"/>
        <w:rPr>
          <w:rFonts w:ascii="Times New Roman" w:hAnsi="Times New Roman" w:eastAsia="方正楷体_GBK"/>
          <w:color w:val="000000" w:themeColor="text1"/>
          <w:kern w:val="2"/>
          <w:sz w:val="32"/>
        </w:rPr>
      </w:pPr>
      <w:r>
        <w:rPr>
          <w:rFonts w:ascii="Times New Roman" w:hAnsi="Times New Roman" w:eastAsia="方正楷体_GBK"/>
          <w:color w:val="000000" w:themeColor="text1"/>
          <w:kern w:val="2"/>
          <w:sz w:val="32"/>
        </w:rPr>
        <w:t>（四）加快推进城乡一体化建设</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14. </w:t>
      </w:r>
      <w:r>
        <w:rPr>
          <w:rFonts w:ascii="Times New Roman" w:hAnsi="Times New Roman" w:eastAsia="方正仿宋_GBK"/>
          <w:b/>
          <w:color w:val="000000" w:themeColor="text1"/>
          <w:kern w:val="2"/>
          <w:sz w:val="32"/>
        </w:rPr>
        <w:t>规划引领城市内涵提升。</w:t>
      </w:r>
      <w:r>
        <w:rPr>
          <w:rFonts w:ascii="Times New Roman" w:hAnsi="Times New Roman" w:eastAsia="方正仿宋_GBK"/>
          <w:snapToGrid w:val="0"/>
          <w:color w:val="000000" w:themeColor="text1"/>
          <w:kern w:val="2"/>
          <w:sz w:val="32"/>
        </w:rPr>
        <w:t>高质量编制新一轮国土空间总体规划，进一步优化城乡空间格局，完善提升城镇功能，推动城市建设从外延扩张向内涵提升转变。编制土地征收成片开发方案，在国土空间规划体系下，按照每年新增建设用地10平方公里、“十四五”期间预计需要新增建设用地50平方公里的基本盘，编制科学合理开发方案，保证各类项目落地。加快推进总体城市设计，将“生态大公园”要求落实到精细空间、落实成精品项目、落实为精致形态。整合宿迁自然人文特色资源，融入西楚文化、项王元素，加强对肌理形态、高度体量、风格色彩、环境景观等要素的控制和引导，形成具有宿迁特色城市风貌。</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15. </w:t>
      </w:r>
      <w:r>
        <w:rPr>
          <w:rFonts w:ascii="Times New Roman" w:hAnsi="Times New Roman" w:eastAsia="方正仿宋_GBK"/>
          <w:b/>
          <w:color w:val="000000" w:themeColor="text1"/>
          <w:kern w:val="2"/>
          <w:sz w:val="32"/>
        </w:rPr>
        <w:t>建设高品质宜居城市。</w:t>
      </w:r>
      <w:r>
        <w:rPr>
          <w:rFonts w:ascii="Times New Roman" w:hAnsi="Times New Roman" w:eastAsia="方正仿宋_GBK"/>
          <w:snapToGrid w:val="0"/>
          <w:color w:val="000000" w:themeColor="text1"/>
          <w:kern w:val="2"/>
          <w:sz w:val="32"/>
        </w:rPr>
        <w:t>围绕水美城市、宜居城市、中国酒都、旅游名城、电商名城“五个城市”建设，深入推进美丽宜居城市建设综合试点工作，构建品质卓越的人居环境。完善生态园林体系建设，加快环湖大道、发展大道北延、上海路等城市景观大道建设，实施城市增绿添彩工程；推进酒都文化公园、黄河故道文化公园等一批精品公园建设，打造“城市公园绿地10分钟服务圈”。</w:t>
      </w:r>
    </w:p>
    <w:p>
      <w:pPr>
        <w:pStyle w:val="7"/>
        <w:spacing w:before="0" w:beforeAutospacing="0" w:after="0" w:afterAutospacing="0" w:line="560" w:lineRule="exact"/>
        <w:ind w:firstLine="640" w:firstLineChars="200"/>
        <w:jc w:val="both"/>
        <w:rPr>
          <w:rFonts w:ascii="Times New Roman" w:hAnsi="Times New Roman" w:eastAsia="方正仿宋_GBK"/>
          <w:color w:val="000000" w:themeColor="text1"/>
          <w:kern w:val="2"/>
          <w:sz w:val="32"/>
        </w:rPr>
      </w:pPr>
      <w:r>
        <w:rPr>
          <w:rFonts w:ascii="Times New Roman" w:hAnsi="Times New Roman" w:eastAsia="方正仿宋_GBK"/>
          <w:bCs/>
          <w:color w:val="000000" w:themeColor="text1"/>
          <w:kern w:val="2"/>
          <w:sz w:val="32"/>
        </w:rPr>
        <w:t xml:space="preserve">16. </w:t>
      </w:r>
      <w:r>
        <w:rPr>
          <w:rFonts w:ascii="Times New Roman" w:hAnsi="Times New Roman" w:eastAsia="方正仿宋_GBK"/>
          <w:b/>
          <w:color w:val="000000" w:themeColor="text1"/>
          <w:kern w:val="2"/>
          <w:sz w:val="32"/>
        </w:rPr>
        <w:t>持续完善城乡基础设施。</w:t>
      </w:r>
      <w:r>
        <w:rPr>
          <w:rFonts w:ascii="Times New Roman" w:hAnsi="Times New Roman" w:eastAsia="方正仿宋_GBK"/>
          <w:snapToGrid w:val="0"/>
          <w:color w:val="000000" w:themeColor="text1"/>
          <w:kern w:val="2"/>
          <w:sz w:val="32"/>
        </w:rPr>
        <w:t>扎实做好中心城市总投资</w:t>
      </w:r>
      <w:r>
        <w:rPr>
          <w:rFonts w:hint="eastAsia" w:ascii="Times New Roman" w:hAnsi="Times New Roman" w:eastAsia="方正仿宋_GBK"/>
          <w:snapToGrid w:val="0"/>
          <w:color w:val="000000" w:themeColor="text1"/>
          <w:kern w:val="2"/>
          <w:sz w:val="32"/>
          <w:lang w:val="en-US" w:eastAsia="zh-CN"/>
        </w:rPr>
        <w:t>1167</w:t>
      </w:r>
      <w:r>
        <w:rPr>
          <w:rFonts w:ascii="Times New Roman" w:hAnsi="Times New Roman" w:eastAsia="方正仿宋_GBK"/>
          <w:snapToGrid w:val="0"/>
          <w:color w:val="000000" w:themeColor="text1"/>
          <w:kern w:val="2"/>
          <w:sz w:val="32"/>
        </w:rPr>
        <w:t>亿元的</w:t>
      </w:r>
      <w:r>
        <w:rPr>
          <w:rFonts w:hint="eastAsia" w:ascii="Times New Roman" w:hAnsi="Times New Roman" w:eastAsia="方正仿宋_GBK"/>
          <w:snapToGrid w:val="0"/>
          <w:color w:val="000000" w:themeColor="text1"/>
          <w:kern w:val="2"/>
          <w:sz w:val="32"/>
          <w:lang w:val="en-US" w:eastAsia="zh-CN"/>
        </w:rPr>
        <w:t>185</w:t>
      </w:r>
      <w:r>
        <w:rPr>
          <w:rFonts w:ascii="Times New Roman" w:hAnsi="Times New Roman" w:eastAsia="方正仿宋_GBK"/>
          <w:snapToGrid w:val="0"/>
          <w:color w:val="000000" w:themeColor="text1"/>
          <w:kern w:val="2"/>
          <w:sz w:val="32"/>
        </w:rPr>
        <w:t>项重点工程实施，补齐城乡基础设施建设短板。逐步改善城乡住房条件，加快完成2020年棚户区改造项目扫尾工作，有序稳步推进2021年棚户区改造工作，排定项目20个、8161户、</w:t>
      </w:r>
      <w:r>
        <w:rPr>
          <w:rFonts w:hint="eastAsia" w:ascii="Times New Roman" w:hAnsi="Times New Roman" w:eastAsia="方正仿宋_GBK"/>
          <w:snapToGrid w:val="0"/>
          <w:color w:val="000000" w:themeColor="text1"/>
          <w:kern w:val="2"/>
          <w:sz w:val="32"/>
          <w:lang w:val="en-US" w:eastAsia="zh-CN"/>
        </w:rPr>
        <w:t>190万平方米</w:t>
      </w:r>
      <w:r>
        <w:rPr>
          <w:rFonts w:ascii="Times New Roman" w:hAnsi="Times New Roman" w:eastAsia="方正仿宋_GBK"/>
          <w:snapToGrid w:val="0"/>
          <w:color w:val="000000" w:themeColor="text1"/>
          <w:kern w:val="2"/>
          <w:sz w:val="32"/>
        </w:rPr>
        <w:t>。深入推进城市应急气源储备项目建设和“瓶改管”工作，加快燃气管网向乡镇延伸步伐，确保2022年底前实现管道天然气通达全市所有乡镇。深入开展污水治理，保年底前超过30%的建成区面积创建成“污水处理提质增效达标区”。</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17. </w:t>
      </w:r>
      <w:r>
        <w:rPr>
          <w:rFonts w:ascii="Times New Roman" w:hAnsi="Times New Roman" w:eastAsia="方正仿宋_GBK"/>
          <w:b/>
          <w:color w:val="000000" w:themeColor="text1"/>
          <w:kern w:val="2"/>
          <w:sz w:val="32"/>
        </w:rPr>
        <w:t>促进城市功能优化升级。</w:t>
      </w:r>
      <w:r>
        <w:rPr>
          <w:rFonts w:ascii="Times New Roman" w:hAnsi="Times New Roman" w:eastAsia="方正仿宋_GBK"/>
          <w:snapToGrid w:val="0"/>
          <w:color w:val="000000" w:themeColor="text1"/>
          <w:kern w:val="2"/>
          <w:sz w:val="32"/>
        </w:rPr>
        <w:t>深入实施公厕提档，新改建城区二类公厕17座，积极推进“公厕+”管理模式，将公厕打造成为便民利民的活动场所。巩固扩大停车便利化成果，新增公共停车泊位6000个，便民方舟西南角、太湖路与富康东巷西南角2处综合停车楼年底前完成基础施工。推进生活垃圾转运站升级改造，进一步提升生活垃圾中转、存储、分类综合服务水平，确保年内完成日转运能力200</w:t>
      </w:r>
      <w:r>
        <w:rPr>
          <w:rFonts w:ascii="黑体" w:hAnsi="黑体" w:eastAsia="黑体"/>
          <w:snapToGrid w:val="0"/>
          <w:color w:val="000000" w:themeColor="text1"/>
          <w:kern w:val="2"/>
          <w:sz w:val="32"/>
        </w:rPr>
        <w:t>-</w:t>
      </w:r>
      <w:r>
        <w:rPr>
          <w:rFonts w:ascii="Times New Roman" w:hAnsi="Times New Roman" w:eastAsia="方正仿宋_GBK"/>
          <w:snapToGrid w:val="0"/>
          <w:color w:val="000000" w:themeColor="text1"/>
          <w:kern w:val="2"/>
          <w:sz w:val="32"/>
        </w:rPr>
        <w:t>400吨的综合性转运站6座。</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18. </w:t>
      </w:r>
      <w:r>
        <w:rPr>
          <w:rFonts w:ascii="Times New Roman" w:hAnsi="Times New Roman" w:eastAsia="方正仿宋_GBK"/>
          <w:b/>
          <w:color w:val="000000" w:themeColor="text1"/>
          <w:kern w:val="2"/>
          <w:sz w:val="32"/>
        </w:rPr>
        <w:t>改善农村生产生活环境。</w:t>
      </w:r>
      <w:r>
        <w:rPr>
          <w:rFonts w:ascii="Times New Roman" w:hAnsi="Times New Roman" w:eastAsia="方正仿宋_GBK"/>
          <w:snapToGrid w:val="0"/>
          <w:color w:val="000000" w:themeColor="text1"/>
          <w:kern w:val="2"/>
          <w:sz w:val="32"/>
        </w:rPr>
        <w:t>启动新一轮高标准农田建设行动，强化农田基础设施配套功能提档升级，计划建成“集中连片、旱涝保收、节水高效、稳产高产、生态友好”的高标准农田40万亩以上，建设高效节水灌溉面积3万亩以上。开展“村庄美丽”行动，持续改善农民群众住房条件，计划新竣工住房2.3万套，新搬迁改善1.6万户；组织开展新一轮农村人居环境整治提升行动，重点深化厕所革命、生活垃圾治理、生活污水治理，计划全年建成美丽</w:t>
      </w:r>
      <w:r>
        <w:rPr>
          <w:rFonts w:hint="eastAsia" w:ascii="Times New Roman" w:hAnsi="Times New Roman" w:eastAsia="方正仿宋_GBK"/>
          <w:snapToGrid w:val="0"/>
          <w:color w:val="000000" w:themeColor="text1"/>
          <w:kern w:val="2"/>
          <w:sz w:val="32"/>
          <w:lang w:eastAsia="zh-CN"/>
        </w:rPr>
        <w:t>宜居</w:t>
      </w:r>
      <w:r>
        <w:rPr>
          <w:rFonts w:ascii="Times New Roman" w:hAnsi="Times New Roman" w:eastAsia="方正仿宋_GBK"/>
          <w:snapToGrid w:val="0"/>
          <w:color w:val="000000" w:themeColor="text1"/>
          <w:kern w:val="2"/>
          <w:sz w:val="32"/>
        </w:rPr>
        <w:t>村庄</w:t>
      </w:r>
      <w:r>
        <w:rPr>
          <w:rFonts w:hint="eastAsia" w:ascii="Times New Roman" w:hAnsi="Times New Roman" w:eastAsia="方正仿宋_GBK"/>
          <w:snapToGrid w:val="0"/>
          <w:color w:val="000000" w:themeColor="text1"/>
          <w:kern w:val="2"/>
          <w:sz w:val="32"/>
          <w:lang w:val="en-US" w:eastAsia="zh-CN"/>
        </w:rPr>
        <w:t>120</w:t>
      </w:r>
      <w:r>
        <w:rPr>
          <w:rFonts w:ascii="Times New Roman" w:hAnsi="Times New Roman" w:eastAsia="方正仿宋_GBK"/>
          <w:snapToGrid w:val="0"/>
          <w:color w:val="000000" w:themeColor="text1"/>
          <w:kern w:val="2"/>
          <w:sz w:val="32"/>
        </w:rPr>
        <w:t>个。</w:t>
      </w:r>
    </w:p>
    <w:p>
      <w:pPr>
        <w:pStyle w:val="7"/>
        <w:spacing w:before="0" w:beforeAutospacing="0" w:after="0" w:afterAutospacing="0" w:line="560" w:lineRule="exact"/>
        <w:ind w:firstLine="640" w:firstLineChars="200"/>
        <w:jc w:val="both"/>
        <w:rPr>
          <w:rFonts w:ascii="Times New Roman" w:hAnsi="Times New Roman" w:eastAsia="方正楷体_GBK"/>
          <w:color w:val="000000" w:themeColor="text1"/>
          <w:kern w:val="2"/>
          <w:sz w:val="32"/>
        </w:rPr>
      </w:pPr>
      <w:r>
        <w:rPr>
          <w:rFonts w:ascii="Times New Roman" w:hAnsi="Times New Roman" w:eastAsia="方正楷体_GBK"/>
          <w:color w:val="000000" w:themeColor="text1"/>
          <w:kern w:val="2"/>
          <w:sz w:val="32"/>
        </w:rPr>
        <w:t>（五）推动美丽宿迁建设创新实践</w:t>
      </w:r>
    </w:p>
    <w:p>
      <w:pPr>
        <w:pStyle w:val="7"/>
        <w:spacing w:before="0" w:beforeAutospacing="0" w:after="0" w:afterAutospacing="0" w:line="560" w:lineRule="exact"/>
        <w:ind w:firstLine="640" w:firstLineChars="200"/>
        <w:jc w:val="both"/>
        <w:rPr>
          <w:rFonts w:ascii="Times New Roman" w:hAnsi="Times New Roman" w:eastAsia="方正仿宋_GBK"/>
          <w:color w:val="000000" w:themeColor="text1"/>
          <w:kern w:val="2"/>
          <w:sz w:val="32"/>
        </w:rPr>
      </w:pPr>
      <w:r>
        <w:rPr>
          <w:rFonts w:ascii="Times New Roman" w:hAnsi="Times New Roman" w:eastAsia="方正仿宋_GBK"/>
          <w:bCs/>
          <w:color w:val="000000" w:themeColor="text1"/>
          <w:kern w:val="2"/>
          <w:sz w:val="32"/>
        </w:rPr>
        <w:t xml:space="preserve">19. </w:t>
      </w:r>
      <w:r>
        <w:rPr>
          <w:rFonts w:ascii="Times New Roman" w:hAnsi="Times New Roman" w:eastAsia="方正仿宋_GBK"/>
          <w:b/>
          <w:color w:val="000000" w:themeColor="text1"/>
          <w:kern w:val="2"/>
          <w:sz w:val="32"/>
        </w:rPr>
        <w:t>筑牢生态安全屏障。</w:t>
      </w:r>
      <w:r>
        <w:rPr>
          <w:rFonts w:ascii="Times New Roman" w:hAnsi="Times New Roman" w:eastAsia="方正仿宋_GBK"/>
          <w:snapToGrid w:val="0"/>
          <w:color w:val="000000" w:themeColor="text1"/>
          <w:kern w:val="2"/>
          <w:sz w:val="32"/>
        </w:rPr>
        <w:t>深入实施山水林田湖草系统保护和综合治理，推进一批生态安全缓冲区建设试点，扩大生态环境容量、降低治污成本、提高抗生态风险能力。提升河湖生态保护能力，重点抓好骆马湖宿迁大控制三角区（九龙湿地）生态建设，启动实施洪泽湖泗洪县、宿城区退圩还湖工程、洪泽湖生态保护示范项目等工程；加强河湖水系联通，推进河湖水系连通，实施朱海·牛角淹生态旅游及水环境修复工程、沭阳城区水系连通等工程，实现“活水清水”目标。</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20. </w:t>
      </w:r>
      <w:r>
        <w:rPr>
          <w:rFonts w:ascii="Times New Roman" w:hAnsi="Times New Roman" w:eastAsia="方正仿宋_GBK"/>
          <w:b/>
          <w:color w:val="000000" w:themeColor="text1"/>
          <w:kern w:val="2"/>
          <w:sz w:val="32"/>
        </w:rPr>
        <w:t>系统推进生态环境综合治理。</w:t>
      </w:r>
      <w:r>
        <w:rPr>
          <w:rFonts w:ascii="Times New Roman" w:hAnsi="Times New Roman" w:eastAsia="方正仿宋_GBK"/>
          <w:snapToGrid w:val="0"/>
          <w:color w:val="000000" w:themeColor="text1"/>
          <w:kern w:val="2"/>
          <w:sz w:val="32"/>
        </w:rPr>
        <w:t>完善污染防治区域联动机制，打好蓝天、碧水、净土保卫战。推进PM2.5和臭氧浓度“双控双减”，重点深化工业污染和挥发性有机物治理，强化餐饮油烟整治，加强移动源污染防治，狠抓扬尘综合治理，基本消除重污染天气。统筹工业生产、城镇生活、农业农村、船舶港口等水污染防治，严格饮用水源地保护，加快推进城乡污水处理提质增效。加强土壤环境质量监测，健全土壤污染源头预防、调查评估与风险管控机制，优先开展人口密集区、农用地等重点地区重点地块污染修复。</w:t>
      </w:r>
    </w:p>
    <w:p>
      <w:pPr>
        <w:spacing w:line="560" w:lineRule="exact"/>
        <w:ind w:firstLine="640" w:firstLineChars="200"/>
        <w:rPr>
          <w:rFonts w:eastAsia="方正仿宋_GBK"/>
          <w:snapToGrid w:val="0"/>
          <w:color w:val="000000" w:themeColor="text1"/>
        </w:rPr>
      </w:pPr>
      <w:r>
        <w:rPr>
          <w:rFonts w:eastAsia="方正仿宋_GBK"/>
          <w:bCs/>
          <w:color w:val="000000" w:themeColor="text1"/>
        </w:rPr>
        <w:t xml:space="preserve">21. </w:t>
      </w:r>
      <w:r>
        <w:rPr>
          <w:rFonts w:eastAsia="方正仿宋_GBK"/>
          <w:b/>
          <w:color w:val="000000" w:themeColor="text1"/>
        </w:rPr>
        <w:t>推进绿色低碳循环发展。</w:t>
      </w:r>
      <w:r>
        <w:rPr>
          <w:rFonts w:eastAsia="方正仿宋_GBK"/>
          <w:snapToGrid w:val="0"/>
          <w:color w:val="000000" w:themeColor="text1"/>
        </w:rPr>
        <w:t>加快构建绿色制造体系，落实重点行业挥发性有机物削减行动计划、水污染防治重点行业清洁生产技术推行方案，提升制造业绿色化水平，力争成功创建国家级绿色示范园区1个、省级绿色工厂3户、市级绿色示范企业15户。围绕绿色产品开发、绿色关键工艺突破、绿色供应链管理构建，实施节能和循环经济重点项目40项，形成4万吨标准煤的年节能能力。着力化解过剩产能、鼓励淘汰低端低效产能，全年实施去产能项30个以上。</w:t>
      </w:r>
    </w:p>
    <w:p>
      <w:pPr>
        <w:pStyle w:val="7"/>
        <w:spacing w:before="0" w:beforeAutospacing="0" w:after="0" w:afterAutospacing="0" w:line="560" w:lineRule="exact"/>
        <w:ind w:firstLine="640" w:firstLineChars="200"/>
        <w:jc w:val="both"/>
        <w:rPr>
          <w:rFonts w:ascii="Times New Roman" w:hAnsi="Times New Roman" w:eastAsia="方正楷体_GBK"/>
          <w:color w:val="000000" w:themeColor="text1"/>
          <w:kern w:val="2"/>
          <w:sz w:val="32"/>
        </w:rPr>
      </w:pPr>
      <w:r>
        <w:rPr>
          <w:rFonts w:ascii="Times New Roman" w:hAnsi="Times New Roman" w:eastAsia="方正楷体_GBK"/>
          <w:color w:val="000000" w:themeColor="text1"/>
          <w:kern w:val="2"/>
          <w:sz w:val="32"/>
        </w:rPr>
        <w:t>（六）增进民生福祉改善生活品质</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22. </w:t>
      </w:r>
      <w:r>
        <w:rPr>
          <w:rFonts w:ascii="Times New Roman" w:hAnsi="Times New Roman" w:eastAsia="方正仿宋_GBK"/>
          <w:b/>
          <w:color w:val="000000" w:themeColor="text1"/>
          <w:kern w:val="2"/>
          <w:sz w:val="32"/>
        </w:rPr>
        <w:t>全力抓稳就业基本盘。</w:t>
      </w:r>
      <w:r>
        <w:rPr>
          <w:rFonts w:ascii="Times New Roman" w:hAnsi="Times New Roman" w:eastAsia="方正仿宋_GBK"/>
          <w:snapToGrid w:val="0"/>
          <w:color w:val="000000" w:themeColor="text1"/>
          <w:kern w:val="2"/>
          <w:sz w:val="32"/>
        </w:rPr>
        <w:t>实施更加积极的就业政策，加大援企稳岗力度，落实降低社保费率、失业稳岗返还、社保补贴等政策。鼓励和支持外出务工人员返乡就业创业，大力实施“家门口就业”工程，打造市级及以上返乡创业园不少于1家，选树60个返乡就业创业典型。进一步突出政校企互动、资源共享、协同发力，促进职业教育与区域经济社会发展良性互动、精准对接，年内完成职技院校招生18000人，为企业培养合格技能人才。</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23. </w:t>
      </w:r>
      <w:r>
        <w:rPr>
          <w:rFonts w:ascii="Times New Roman" w:hAnsi="Times New Roman" w:eastAsia="方正仿宋_GBK"/>
          <w:b/>
          <w:color w:val="000000" w:themeColor="text1"/>
          <w:kern w:val="2"/>
          <w:sz w:val="32"/>
        </w:rPr>
        <w:t>健全多层次社会保障体系。</w:t>
      </w:r>
      <w:r>
        <w:rPr>
          <w:rFonts w:ascii="Times New Roman" w:hAnsi="Times New Roman" w:eastAsia="方正仿宋_GBK"/>
          <w:snapToGrid w:val="0"/>
          <w:color w:val="000000" w:themeColor="text1"/>
          <w:kern w:val="2"/>
          <w:sz w:val="32"/>
        </w:rPr>
        <w:t>推进社保转移接续，健全基本养老待遇调整机制，探索实施渐进式延迟法定退休年龄。实施全民参保计划，实现城乡基本养老保险、工伤保险参保人数分别达到246.8万人、55万人；基本医疗保险参保人数达到526.77万人，城镇职工基本医疗保险政策范围内住院医疗费用基金支付比例稳定在85%左右，城乡居民基本医疗保险政策范围内住院医疗费用基金支付比例稳定在70%左右。扎实做好保障性安居工程，全年保障性安居工程新开工不低于6000套，提高我市城镇中低收入住房困难家庭的住房水平。</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24. </w:t>
      </w:r>
      <w:r>
        <w:rPr>
          <w:rFonts w:ascii="Times New Roman" w:hAnsi="Times New Roman" w:eastAsia="方正仿宋_GBK"/>
          <w:b/>
          <w:color w:val="000000" w:themeColor="text1"/>
          <w:kern w:val="2"/>
          <w:sz w:val="32"/>
        </w:rPr>
        <w:t>持续提升基本公共服务水平。</w:t>
      </w:r>
      <w:r>
        <w:rPr>
          <w:rFonts w:ascii="Times New Roman" w:hAnsi="Times New Roman" w:eastAsia="方正仿宋_GBK"/>
          <w:snapToGrid w:val="0"/>
          <w:color w:val="000000" w:themeColor="text1"/>
          <w:kern w:val="2"/>
          <w:sz w:val="32"/>
        </w:rPr>
        <w:t>推进医疗机构加快发展，启动市三级妇幼保健院建设，实施市传染病医院、市中医院新门诊大楼和综合楼等建设；完善公共卫生服务体系，加快推进4个功能区社区卫生服务中心建设，完成市救护中心3个直属急救分站建设并启动运行；全年招聘基层医技人员200名以上，为基层定向培养本专科层次医学生100名以上。做好学校建设三年攻坚计划收尾工作，确保全市83所学校如期建成投用；多渠道引进优质品牌教育资源，强化师资配备和名教师、名校长培养引进，加快打造一批区域名校，实现普通高中办学质量整体提升；进一步扩大学前教育有效供给，加快公办园建设力度，促进幼儿园公益普惠健康发展，让孩子有园上、就近上、上得起。</w:t>
      </w:r>
    </w:p>
    <w:p>
      <w:pPr>
        <w:pStyle w:val="7"/>
        <w:spacing w:before="0" w:beforeAutospacing="0" w:after="0" w:afterAutospacing="0" w:line="560" w:lineRule="exact"/>
        <w:ind w:firstLine="640" w:firstLineChars="200"/>
        <w:jc w:val="both"/>
        <w:rPr>
          <w:rFonts w:ascii="Times New Roman" w:hAnsi="Times New Roman" w:eastAsia="方正楷体_GBK"/>
          <w:color w:val="000000" w:themeColor="text1"/>
          <w:kern w:val="2"/>
          <w:sz w:val="32"/>
        </w:rPr>
      </w:pPr>
      <w:r>
        <w:rPr>
          <w:rFonts w:ascii="Times New Roman" w:hAnsi="Times New Roman" w:eastAsia="方正楷体_GBK"/>
          <w:color w:val="000000" w:themeColor="text1"/>
          <w:kern w:val="2"/>
          <w:sz w:val="32"/>
        </w:rPr>
        <w:t>（七）提升管理效能建设安全宿迁</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25. </w:t>
      </w:r>
      <w:r>
        <w:rPr>
          <w:rFonts w:ascii="Times New Roman" w:hAnsi="Times New Roman" w:eastAsia="方正仿宋_GBK"/>
          <w:b/>
          <w:color w:val="000000" w:themeColor="text1"/>
          <w:kern w:val="2"/>
          <w:sz w:val="32"/>
        </w:rPr>
        <w:t>打好安全生产专项整治持久战。</w:t>
      </w:r>
      <w:r>
        <w:rPr>
          <w:rFonts w:hint="eastAsia" w:ascii="Times New Roman" w:hAnsi="Times New Roman" w:eastAsia="方正仿宋_GBK"/>
          <w:snapToGrid w:val="0"/>
          <w:color w:val="000000" w:themeColor="text1"/>
          <w:kern w:val="2"/>
          <w:sz w:val="32"/>
        </w:rPr>
        <w:t>牢牢把握“两个不放松”和“务必整出成效”的总要求，在巩固专项整治“一年小灶”成果的基础上，大力实施重点行业领域三年专项整治。压紧压实“从根本上消除事故隐患”的责任链条，扎实推进危险化学品、道路运输、城市建设、消防等重点行业领域专项整治。完善“小化工”“小字头”专项整治长效机制，实现“小化工”和“小字头”排查整治工作常态化运行。全面推动《江苏省工业企业安全生产风险报告规定》的落实，深入开展危化品使用安全专项治理。加强安全生产标准化创建，有效防范化解重大安全风险，提升本质安全水平。</w:t>
      </w:r>
    </w:p>
    <w:p>
      <w:pPr>
        <w:pStyle w:val="7"/>
        <w:spacing w:before="0" w:beforeAutospacing="0" w:after="0" w:afterAutospacing="0" w:line="560" w:lineRule="exact"/>
        <w:ind w:firstLine="640" w:firstLineChars="200"/>
        <w:jc w:val="both"/>
        <w:rPr>
          <w:rFonts w:ascii="Times New Roman" w:hAnsi="Times New Roman" w:eastAsia="方正仿宋_GBK"/>
          <w:color w:val="000000" w:themeColor="text1"/>
          <w:kern w:val="2"/>
          <w:sz w:val="32"/>
        </w:rPr>
      </w:pPr>
      <w:r>
        <w:rPr>
          <w:rFonts w:ascii="Times New Roman" w:hAnsi="Times New Roman" w:eastAsia="方正仿宋_GBK"/>
          <w:bCs/>
          <w:color w:val="000000" w:themeColor="text1"/>
          <w:kern w:val="2"/>
          <w:sz w:val="32"/>
        </w:rPr>
        <w:t xml:space="preserve">26. </w:t>
      </w:r>
      <w:r>
        <w:rPr>
          <w:rFonts w:ascii="Times New Roman" w:hAnsi="Times New Roman" w:eastAsia="方正仿宋_GBK"/>
          <w:b/>
          <w:color w:val="000000" w:themeColor="text1"/>
          <w:kern w:val="2"/>
          <w:sz w:val="32"/>
        </w:rPr>
        <w:t>全面提高应急管理水平。</w:t>
      </w:r>
      <w:r>
        <w:rPr>
          <w:rFonts w:hint="eastAsia" w:ascii="Times New Roman" w:hAnsi="Times New Roman" w:eastAsia="方正仿宋_GBK"/>
          <w:snapToGrid w:val="0"/>
          <w:color w:val="000000" w:themeColor="text1"/>
          <w:kern w:val="2"/>
          <w:sz w:val="32"/>
        </w:rPr>
        <w:t>以创建安全发展示范城市为抓手，统筹做好自然灾害防范应对工作，积极推动完善城市安全的源头治理、风险防控、应急救援等工作。围绕风险防范和应急救援需要，建设集通信、指挥、协同、辅助决策于一体的融合通信平台和应急“一张图”，搭建宿迁“应急大脑”。建立</w:t>
      </w:r>
      <w:r>
        <w:rPr>
          <w:rFonts w:hint="eastAsia" w:ascii="Times New Roman" w:hAnsi="Times New Roman" w:eastAsia="方正仿宋_GBK"/>
          <w:snapToGrid w:val="0"/>
          <w:color w:val="000000" w:themeColor="text1"/>
          <w:kern w:val="2"/>
          <w:sz w:val="32"/>
          <w:lang w:eastAsia="zh-CN"/>
        </w:rPr>
        <w:t>“</w:t>
      </w:r>
      <w:r>
        <w:rPr>
          <w:rFonts w:hint="eastAsia" w:ascii="Times New Roman" w:hAnsi="Times New Roman" w:eastAsia="方正仿宋_GBK"/>
          <w:snapToGrid w:val="0"/>
          <w:color w:val="000000" w:themeColor="text1"/>
          <w:kern w:val="2"/>
          <w:sz w:val="32"/>
        </w:rPr>
        <w:t>1+8+N</w:t>
      </w:r>
      <w:r>
        <w:rPr>
          <w:rFonts w:hint="eastAsia" w:ascii="Times New Roman" w:hAnsi="Times New Roman" w:eastAsia="方正仿宋_GBK"/>
          <w:snapToGrid w:val="0"/>
          <w:color w:val="000000" w:themeColor="text1"/>
          <w:kern w:val="2"/>
          <w:sz w:val="32"/>
          <w:lang w:eastAsia="zh-CN"/>
        </w:rPr>
        <w:t>”</w:t>
      </w:r>
      <w:r>
        <w:rPr>
          <w:rFonts w:hint="eastAsia" w:ascii="Times New Roman" w:hAnsi="Times New Roman" w:eastAsia="方正仿宋_GBK"/>
          <w:snapToGrid w:val="0"/>
          <w:color w:val="000000" w:themeColor="text1"/>
          <w:kern w:val="2"/>
          <w:sz w:val="32"/>
        </w:rPr>
        <w:t>突发事件应急处置联动机制，探索建立特殊时段重点生产经营单位安全包保机制和重点时段应急力量前置备勤机制，规范预测预警、情况报告、救援联动等工作内容，不断提升突发事件处置水平。完善专业救援队伍和企事业单位、基层社区应急装备配备，切实提高基层应急保障能力。</w:t>
      </w:r>
    </w:p>
    <w:p>
      <w:pPr>
        <w:pStyle w:val="7"/>
        <w:spacing w:before="0" w:beforeAutospacing="0" w:after="0" w:afterAutospacing="0" w:line="560" w:lineRule="exact"/>
        <w:ind w:firstLine="640" w:firstLineChars="200"/>
        <w:jc w:val="both"/>
        <w:rPr>
          <w:rFonts w:ascii="Times New Roman" w:hAnsi="Times New Roman" w:eastAsia="方正仿宋_GBK"/>
          <w:snapToGrid w:val="0"/>
          <w:color w:val="000000" w:themeColor="text1"/>
          <w:kern w:val="2"/>
          <w:sz w:val="32"/>
        </w:rPr>
      </w:pPr>
      <w:r>
        <w:rPr>
          <w:rFonts w:ascii="Times New Roman" w:hAnsi="Times New Roman" w:eastAsia="方正仿宋_GBK"/>
          <w:bCs/>
          <w:color w:val="000000" w:themeColor="text1"/>
          <w:kern w:val="2"/>
          <w:sz w:val="32"/>
        </w:rPr>
        <w:t xml:space="preserve">27. </w:t>
      </w:r>
      <w:r>
        <w:rPr>
          <w:rFonts w:ascii="Times New Roman" w:hAnsi="Times New Roman" w:eastAsia="方正仿宋_GBK"/>
          <w:b/>
          <w:color w:val="000000" w:themeColor="text1"/>
          <w:kern w:val="2"/>
          <w:sz w:val="32"/>
        </w:rPr>
        <w:t>持续推进平安宿迁建设。</w:t>
      </w:r>
      <w:r>
        <w:rPr>
          <w:rFonts w:ascii="Times New Roman" w:hAnsi="Times New Roman" w:eastAsia="方正仿宋_GBK"/>
          <w:snapToGrid w:val="0"/>
          <w:color w:val="000000" w:themeColor="text1"/>
          <w:kern w:val="2"/>
          <w:sz w:val="32"/>
        </w:rPr>
        <w:t>以打造最具安全感城市为目标，加快推进社会治安防控体系建设，织密重点区域、重点部位、居民小区、交通要道、环宿边界五道智能“围闭圈”，做好风险隐患精准预警、精准防控。以“平安前哨”行动为载体，建设150个标准警务室，融入治理网格，打造感知风险第一触角、化解矛盾第一阵地、守护安全第一防线、服务群众第一窗口。</w:t>
      </w:r>
    </w:p>
    <w:sectPr>
      <w:headerReference r:id="rId3" w:type="first"/>
      <w:footerReference r:id="rId5" w:type="first"/>
      <w:footerReference r:id="rId4" w:type="default"/>
      <w:pgSz w:w="11906" w:h="16838"/>
      <w:pgMar w:top="2098" w:right="1588" w:bottom="1985" w:left="1588" w:header="1814" w:footer="1361"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025F8B-47C2-413D-B982-F4947E75329A}"/>
  </w:font>
  <w:font w:name="Arial">
    <w:panose1 w:val="020B0604020202020204"/>
    <w:charset w:val="01"/>
    <w:family w:val="swiss"/>
    <w:pitch w:val="default"/>
    <w:sig w:usb0="E0002AFF" w:usb1="C0007843" w:usb2="00000009" w:usb3="00000000" w:csb0="400001FF" w:csb1="FFFF0000"/>
    <w:embedRegular r:id="rId2" w:fontKey="{DDC03454-07A8-49DD-AC9D-EDC4F288CEE3}"/>
  </w:font>
  <w:font w:name="黑体">
    <w:panose1 w:val="02010609060101010101"/>
    <w:charset w:val="86"/>
    <w:family w:val="auto"/>
    <w:pitch w:val="default"/>
    <w:sig w:usb0="800002BF" w:usb1="38CF7CFA" w:usb2="00000016" w:usb3="00000000" w:csb0="00040001" w:csb1="00000000"/>
    <w:embedRegular r:id="rId3" w:fontKey="{6A74C9A1-71F3-4D6B-982C-5C1590047BBB}"/>
  </w:font>
  <w:font w:name="Courier New">
    <w:panose1 w:val="02070309020205020404"/>
    <w:charset w:val="01"/>
    <w:family w:val="modern"/>
    <w:pitch w:val="default"/>
    <w:sig w:usb0="E0002AFF" w:usb1="C0007843" w:usb2="00000009" w:usb3="00000000" w:csb0="400001FF" w:csb1="FFFF0000"/>
    <w:embedRegular r:id="rId4" w:fontKey="{4CB3D628-E608-43B9-9080-FA8F8E233596}"/>
  </w:font>
  <w:font w:name="Symbol">
    <w:panose1 w:val="05050102010706020507"/>
    <w:charset w:val="02"/>
    <w:family w:val="roman"/>
    <w:pitch w:val="default"/>
    <w:sig w:usb0="00000000" w:usb1="00000000" w:usb2="00000000" w:usb3="00000000" w:csb0="80000000" w:csb1="00000000"/>
    <w:embedRegular r:id="rId5" w:fontKey="{529AC1D7-510F-484C-A7F9-D3C2EA49DC1E}"/>
  </w:font>
  <w:font w:name="Calibri">
    <w:panose1 w:val="020F0502020204030204"/>
    <w:charset w:val="00"/>
    <w:family w:val="swiss"/>
    <w:pitch w:val="default"/>
    <w:sig w:usb0="E00002FF" w:usb1="4000ACFF" w:usb2="00000001" w:usb3="00000000" w:csb0="2000019F" w:csb1="00000000"/>
    <w:embedRegular r:id="rId6" w:fontKey="{A4E0C74C-ABB3-4B7C-A26D-FE66095ADB37}"/>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A0C058E9-BE6E-45F3-84D4-B64A59318FE1}"/>
  </w:font>
  <w:font w:name="方正仿宋_GBK">
    <w:panose1 w:val="03000509000000000000"/>
    <w:charset w:val="86"/>
    <w:family w:val="script"/>
    <w:pitch w:val="default"/>
    <w:sig w:usb0="00000001" w:usb1="080E0000" w:usb2="00000000" w:usb3="00000000" w:csb0="00040000" w:csb1="00000000"/>
    <w:embedRegular r:id="rId8" w:fontKey="{74D652DF-6A6F-4F4A-A3A3-9F5268951F1A}"/>
  </w:font>
  <w:font w:name="方正黑体_GBK">
    <w:panose1 w:val="03000509000000000000"/>
    <w:charset w:val="86"/>
    <w:family w:val="script"/>
    <w:pitch w:val="default"/>
    <w:sig w:usb0="00000001" w:usb1="080E0000" w:usb2="00000000" w:usb3="00000000" w:csb0="00040000" w:csb1="00000000"/>
    <w:embedRegular r:id="rId9" w:fontKey="{AC4A3993-EE8B-4B41-B693-40492520DB9A}"/>
  </w:font>
  <w:font w:name="方正楷体_GBK">
    <w:panose1 w:val="03000509000000000000"/>
    <w:charset w:val="86"/>
    <w:family w:val="script"/>
    <w:pitch w:val="default"/>
    <w:sig w:usb0="00000001" w:usb1="080E0000" w:usb2="00000000" w:usb3="00000000" w:csb0="00040000" w:csb1="00000000"/>
    <w:embedRegular r:id="rId10" w:fontKey="{323834C5-ECA4-490C-8933-873E93604544}"/>
  </w:font>
  <w:font w:name="新宋体">
    <w:panose1 w:val="02010609030101010101"/>
    <w:charset w:val="86"/>
    <w:family w:val="modern"/>
    <w:pitch w:val="default"/>
    <w:sig w:usb0="00000003" w:usb1="288F0000" w:usb2="00000006" w:usb3="00000000" w:csb0="00040001" w:csb1="00000000"/>
    <w:embedRegular r:id="rId11" w:fontKey="{6611C885-245E-428B-9FD3-C033A8850432}"/>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1701" w:h="561" w:hRule="exact" w:wrap="around" w:vAnchor="text" w:hAnchor="margin" w:xAlign="outside" w:y="1"/>
      <w:spacing w:line="560" w:lineRule="exact"/>
      <w:jc w:val="center"/>
      <w:rPr>
        <w:rFonts w:ascii="宋体" w:hAnsi="宋体"/>
        <w:sz w:val="28"/>
        <w:szCs w:val="28"/>
      </w:rPr>
    </w:pPr>
    <w:r>
      <w:rPr>
        <w:rStyle w:val="11"/>
        <w:rFonts w:hint="eastAsia" w:ascii="宋体" w:hAnsi="宋体"/>
        <w:sz w:val="28"/>
        <w:szCs w:val="28"/>
      </w:rPr>
      <w:t xml:space="preserve">— </w:t>
    </w:r>
    <w:r>
      <w:rPr>
        <w:rStyle w:val="11"/>
        <w:rFonts w:ascii="宋体" w:hAnsi="宋体"/>
        <w:sz w:val="28"/>
        <w:szCs w:val="28"/>
      </w:rPr>
      <w:fldChar w:fldCharType="begin"/>
    </w:r>
    <w:r>
      <w:rPr>
        <w:rStyle w:val="11"/>
        <w:rFonts w:ascii="宋体" w:hAnsi="宋体"/>
        <w:sz w:val="28"/>
        <w:szCs w:val="28"/>
      </w:rPr>
      <w:instrText xml:space="preserve">PAGE  </w:instrText>
    </w:r>
    <w:r>
      <w:rPr>
        <w:rStyle w:val="11"/>
        <w:rFonts w:ascii="宋体" w:hAnsi="宋体"/>
        <w:sz w:val="28"/>
        <w:szCs w:val="28"/>
      </w:rPr>
      <w:fldChar w:fldCharType="separate"/>
    </w:r>
    <w:r>
      <w:rPr>
        <w:rStyle w:val="11"/>
        <w:rFonts w:ascii="宋体" w:hAnsi="宋体"/>
        <w:sz w:val="28"/>
        <w:szCs w:val="28"/>
      </w:rPr>
      <w:t>25</w:t>
    </w:r>
    <w:r>
      <w:rPr>
        <w:rStyle w:val="11"/>
        <w:rFonts w:ascii="宋体" w:hAnsi="宋体"/>
        <w:sz w:val="28"/>
        <w:szCs w:val="28"/>
      </w:rPr>
      <w:fldChar w:fldCharType="end"/>
    </w:r>
    <w:r>
      <w:rPr>
        <w:rStyle w:val="11"/>
        <w:rFonts w:hint="eastAsia" w:ascii="宋体" w:hAnsi="宋体"/>
        <w:sz w:val="28"/>
        <w:szCs w:val="28"/>
      </w:rPr>
      <w:t xml:space="preserve"> —</w:t>
    </w:r>
  </w:p>
  <w:p>
    <w:pPr>
      <w:pStyle w:val="5"/>
      <w:spacing w:line="56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1701" w:h="561" w:hRule="exact" w:wrap="around" w:vAnchor="text" w:hAnchor="margin" w:xAlign="outside" w:y="1"/>
      <w:spacing w:line="560" w:lineRule="exact"/>
      <w:jc w:val="center"/>
      <w:rPr>
        <w:rFonts w:ascii="宋体" w:hAnsi="宋体"/>
        <w:sz w:val="28"/>
        <w:szCs w:val="28"/>
      </w:rPr>
    </w:pPr>
    <w:r>
      <w:rPr>
        <w:rStyle w:val="11"/>
        <w:rFonts w:hint="eastAsia" w:ascii="宋体" w:hAnsi="宋体"/>
        <w:sz w:val="28"/>
        <w:szCs w:val="28"/>
      </w:rPr>
      <w:t xml:space="preserve">— </w:t>
    </w:r>
    <w:r>
      <w:rPr>
        <w:rStyle w:val="11"/>
        <w:rFonts w:ascii="宋体" w:hAnsi="宋体"/>
        <w:sz w:val="28"/>
        <w:szCs w:val="28"/>
      </w:rPr>
      <w:fldChar w:fldCharType="begin"/>
    </w:r>
    <w:r>
      <w:rPr>
        <w:rStyle w:val="11"/>
        <w:rFonts w:ascii="宋体" w:hAnsi="宋体"/>
        <w:sz w:val="28"/>
        <w:szCs w:val="28"/>
      </w:rPr>
      <w:instrText xml:space="preserve">PAGE  </w:instrText>
    </w:r>
    <w:r>
      <w:rPr>
        <w:rStyle w:val="11"/>
        <w:rFonts w:ascii="宋体" w:hAnsi="宋体"/>
        <w:sz w:val="28"/>
        <w:szCs w:val="28"/>
      </w:rPr>
      <w:fldChar w:fldCharType="separate"/>
    </w:r>
    <w:r>
      <w:rPr>
        <w:rStyle w:val="11"/>
        <w:rFonts w:ascii="宋体" w:hAnsi="宋体"/>
        <w:sz w:val="28"/>
        <w:szCs w:val="28"/>
      </w:rPr>
      <w:t>1</w:t>
    </w:r>
    <w:r>
      <w:rPr>
        <w:rStyle w:val="11"/>
        <w:rFonts w:ascii="宋体" w:hAnsi="宋体"/>
        <w:sz w:val="28"/>
        <w:szCs w:val="28"/>
      </w:rPr>
      <w:fldChar w:fldCharType="end"/>
    </w:r>
    <w:r>
      <w:rPr>
        <w:rStyle w:val="11"/>
        <w:rFonts w:hint="eastAsia" w:ascii="宋体" w:hAnsi="宋体"/>
        <w:sz w:val="28"/>
        <w:szCs w:val="28"/>
      </w:rPr>
      <w:t xml:space="preserve"> —</w:t>
    </w:r>
  </w:p>
  <w:p>
    <w:pPr>
      <w:pStyle w:val="5"/>
      <w:spacing w:line="560" w:lineRule="exac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方正楷体_GBK" w:eastAsia="方正楷体_GBK"/>
      </w:rPr>
    </w:pPr>
    <w:r>
      <w:rPr>
        <w:rFonts w:hint="eastAsia" w:ascii="方正楷体_GBK" w:eastAsia="方正楷体_GBK"/>
        <w:spacing w:val="50"/>
        <w:kern w:val="28"/>
        <w:sz w:val="28"/>
        <w:szCs w:val="28"/>
      </w:rPr>
      <w:fldChar w:fldCharType="begin"/>
    </w:r>
    <w:r>
      <w:rPr>
        <w:rFonts w:hint="eastAsia" w:ascii="方正楷体_GBK" w:eastAsia="方正楷体_GBK"/>
        <w:spacing w:val="50"/>
        <w:kern w:val="28"/>
        <w:sz w:val="28"/>
        <w:szCs w:val="28"/>
      </w:rPr>
      <w:instrText xml:space="preserve"> eq \o\ad(\s\up 17(宿迁市五届人大),五次会议文件)</w:instrText>
    </w:r>
    <w:r>
      <w:rPr>
        <w:rFonts w:hint="eastAsia" w:ascii="方正楷体_GBK" w:eastAsia="方正楷体_GBK"/>
        <w:spacing w:val="50"/>
        <w:kern w:val="28"/>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32CBF"/>
    <w:rsid w:val="00042F45"/>
    <w:rsid w:val="00051BB3"/>
    <w:rsid w:val="000B5F79"/>
    <w:rsid w:val="00130CFB"/>
    <w:rsid w:val="00165319"/>
    <w:rsid w:val="001F3895"/>
    <w:rsid w:val="002205C7"/>
    <w:rsid w:val="00287C29"/>
    <w:rsid w:val="003D2F7E"/>
    <w:rsid w:val="005D12C9"/>
    <w:rsid w:val="007360D3"/>
    <w:rsid w:val="007D3A8D"/>
    <w:rsid w:val="008006A2"/>
    <w:rsid w:val="0094005A"/>
    <w:rsid w:val="00A13C6C"/>
    <w:rsid w:val="00B47F65"/>
    <w:rsid w:val="00BD4D53"/>
    <w:rsid w:val="00C31444"/>
    <w:rsid w:val="00C81304"/>
    <w:rsid w:val="00C87F0C"/>
    <w:rsid w:val="00CD4D36"/>
    <w:rsid w:val="00D972D9"/>
    <w:rsid w:val="00DA3311"/>
    <w:rsid w:val="00E343B8"/>
    <w:rsid w:val="00F32CBF"/>
    <w:rsid w:val="00FF2335"/>
    <w:rsid w:val="0C440EC0"/>
    <w:rsid w:val="1D9541B0"/>
    <w:rsid w:val="22B77A02"/>
    <w:rsid w:val="2544335E"/>
    <w:rsid w:val="26A54A75"/>
    <w:rsid w:val="26B47CFC"/>
    <w:rsid w:val="2977635D"/>
    <w:rsid w:val="2E615CFE"/>
    <w:rsid w:val="3E7313E4"/>
    <w:rsid w:val="48B3392B"/>
    <w:rsid w:val="5B413B2C"/>
    <w:rsid w:val="68AA5A12"/>
    <w:rsid w:val="73D8445D"/>
    <w:rsid w:val="76D32DB1"/>
    <w:rsid w:val="7EE90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5"/>
    <w:unhideWhenUsed/>
    <w:qFormat/>
    <w:uiPriority w:val="0"/>
    <w:pPr>
      <w:spacing w:after="120"/>
    </w:pPr>
  </w:style>
  <w:style w:type="paragraph" w:styleId="3">
    <w:name w:val="Body Text Indent"/>
    <w:basedOn w:val="1"/>
    <w:link w:val="19"/>
    <w:semiHidden/>
    <w:unhideWhenUsed/>
    <w:qFormat/>
    <w:uiPriority w:val="99"/>
    <w:pPr>
      <w:spacing w:after="120"/>
      <w:ind w:left="420" w:leftChars="200"/>
    </w:pPr>
  </w:style>
  <w:style w:type="paragraph" w:styleId="4">
    <w:name w:val="Balloon Text"/>
    <w:basedOn w:val="1"/>
    <w:link w:val="14"/>
    <w:semiHidden/>
    <w:unhideWhenUsed/>
    <w:qFormat/>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Normal (Web)"/>
    <w:basedOn w:val="1"/>
    <w:qFormat/>
    <w:uiPriority w:val="0"/>
    <w:pPr>
      <w:spacing w:before="100" w:beforeAutospacing="1" w:after="100" w:afterAutospacing="1"/>
      <w:jc w:val="left"/>
    </w:pPr>
    <w:rPr>
      <w:rFonts w:ascii="Calibri" w:hAnsi="Calibri"/>
      <w:kern w:val="0"/>
      <w:sz w:val="24"/>
    </w:rPr>
  </w:style>
  <w:style w:type="paragraph" w:styleId="8">
    <w:name w:val="Title"/>
    <w:basedOn w:val="1"/>
    <w:next w:val="3"/>
    <w:link w:val="16"/>
    <w:qFormat/>
    <w:uiPriority w:val="0"/>
    <w:pPr>
      <w:adjustRightInd w:val="0"/>
      <w:snapToGrid w:val="0"/>
      <w:spacing w:before="1440" w:line="560" w:lineRule="exact"/>
      <w:jc w:val="center"/>
      <w:outlineLvl w:val="0"/>
    </w:pPr>
    <w:rPr>
      <w:rFonts w:eastAsia="方正小标宋简体"/>
      <w:kern w:val="40"/>
      <w:sz w:val="44"/>
      <w:szCs w:val="44"/>
    </w:rPr>
  </w:style>
  <w:style w:type="character" w:styleId="11">
    <w:name w:val="page number"/>
    <w:basedOn w:val="10"/>
    <w:qFormat/>
    <w:uiPriority w:val="99"/>
  </w:style>
  <w:style w:type="character" w:customStyle="1" w:styleId="12">
    <w:name w:val="页眉 Char"/>
    <w:basedOn w:val="10"/>
    <w:link w:val="6"/>
    <w:qFormat/>
    <w:uiPriority w:val="99"/>
    <w:rPr>
      <w:sz w:val="18"/>
      <w:szCs w:val="18"/>
    </w:rPr>
  </w:style>
  <w:style w:type="character" w:customStyle="1" w:styleId="13">
    <w:name w:val="页脚 Char"/>
    <w:basedOn w:val="10"/>
    <w:link w:val="5"/>
    <w:semiHidden/>
    <w:qFormat/>
    <w:uiPriority w:val="99"/>
    <w:rPr>
      <w:sz w:val="18"/>
      <w:szCs w:val="18"/>
    </w:rPr>
  </w:style>
  <w:style w:type="character" w:customStyle="1" w:styleId="14">
    <w:name w:val="批注框文本 Char"/>
    <w:basedOn w:val="10"/>
    <w:link w:val="4"/>
    <w:semiHidden/>
    <w:qFormat/>
    <w:uiPriority w:val="99"/>
    <w:rPr>
      <w:sz w:val="18"/>
      <w:szCs w:val="18"/>
    </w:rPr>
  </w:style>
  <w:style w:type="character" w:customStyle="1" w:styleId="15">
    <w:name w:val="正文文本 Char"/>
    <w:basedOn w:val="10"/>
    <w:link w:val="2"/>
    <w:qFormat/>
    <w:uiPriority w:val="0"/>
    <w:rPr>
      <w:rFonts w:ascii="Times New Roman" w:hAnsi="Times New Roman" w:eastAsia="仿宋_GB2312" w:cs="Times New Roman"/>
      <w:sz w:val="32"/>
      <w:szCs w:val="32"/>
    </w:rPr>
  </w:style>
  <w:style w:type="character" w:customStyle="1" w:styleId="16">
    <w:name w:val="标题 Char"/>
    <w:basedOn w:val="10"/>
    <w:link w:val="8"/>
    <w:qFormat/>
    <w:uiPriority w:val="0"/>
    <w:rPr>
      <w:rFonts w:ascii="Times New Roman" w:hAnsi="Times New Roman" w:eastAsia="方正小标宋简体" w:cs="Times New Roman"/>
      <w:kern w:val="40"/>
      <w:sz w:val="44"/>
      <w:szCs w:val="44"/>
    </w:rPr>
  </w:style>
  <w:style w:type="paragraph" w:styleId="1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
    <w:name w:val="UserStyle_0"/>
    <w:qFormat/>
    <w:uiPriority w:val="0"/>
    <w:pPr>
      <w:textAlignment w:val="baseline"/>
    </w:pPr>
    <w:rPr>
      <w:rFonts w:ascii="Times New Roman" w:hAnsi="Times New Roman" w:eastAsia="宋体" w:cs="Times New Roman"/>
      <w:color w:val="000000"/>
      <w:kern w:val="0"/>
      <w:sz w:val="24"/>
      <w:szCs w:val="24"/>
      <w:lang w:val="en-US" w:eastAsia="zh-CN" w:bidi="ar-SA"/>
    </w:rPr>
  </w:style>
  <w:style w:type="character" w:customStyle="1" w:styleId="19">
    <w:name w:val="正文文本缩进 Char"/>
    <w:basedOn w:val="10"/>
    <w:link w:val="3"/>
    <w:semiHidden/>
    <w:qFormat/>
    <w:uiPriority w:val="99"/>
    <w:rPr>
      <w:rFonts w:ascii="Times New Roman" w:hAnsi="Times New Roman" w:eastAsia="仿宋_GB2312" w:cs="Times New Roman"/>
      <w:sz w:val="32"/>
      <w:szCs w:val="32"/>
    </w:rPr>
  </w:style>
  <w:style w:type="paragraph" w:customStyle="1" w:styleId="20">
    <w:name w:val="Char Char Char Char Char Char"/>
    <w:basedOn w:val="1"/>
    <w:qFormat/>
    <w:uiPriority w:val="0"/>
    <w:rPr>
      <w:rFonts w:eastAsia="黑体"/>
      <w:kern w:val="0"/>
      <w:sz w:val="20"/>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3267</Words>
  <Characters>18622</Characters>
  <Lines>155</Lines>
  <Paragraphs>43</Paragraphs>
  <TotalTime>10</TotalTime>
  <ScaleCrop>false</ScaleCrop>
  <LinksUpToDate>false</LinksUpToDate>
  <CharactersWithSpaces>21846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2021-01-11T02:54:00Z</dcterms:created>
  <dc:creator>admin</dc:creator>
  <cp:lastModifiedBy>文来儒妖</cp:lastModifiedBy>
  <dcterms:modified xsi:type="dcterms:W3CDTF">2021-03-17T02:43:48Z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333475440_embed</vt:lpwstr>
  </property>
</Properties>
</file>